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67" w:rsidRPr="00BF0467" w:rsidRDefault="00BF0467" w:rsidP="00775E6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04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ОБЩЕСТВО С ОГРАНИЧЕННОЙ ОТВЕТСТВЕННОСТЬЮ </w:t>
      </w:r>
    </w:p>
    <w:p w:rsidR="00BF0467" w:rsidRPr="00BF0467" w:rsidRDefault="00BF0467" w:rsidP="00775E6C">
      <w:pPr>
        <w:tabs>
          <w:tab w:val="left" w:pos="5812"/>
        </w:tabs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0467">
        <w:rPr>
          <w:rFonts w:ascii="Times New Roman" w:hAnsi="Times New Roman" w:cs="Times New Roman"/>
          <w:b/>
          <w:sz w:val="28"/>
          <w:szCs w:val="28"/>
          <w:lang w:val="ru-RU"/>
        </w:rPr>
        <w:t>«ЭТТОН</w:t>
      </w:r>
      <w:r w:rsidR="00C001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</w:t>
      </w:r>
      <w:r w:rsidRPr="00BF046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F0467" w:rsidRPr="00BF0467" w:rsidRDefault="00BF0467" w:rsidP="00BF046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0467" w:rsidRPr="00BF0467" w:rsidRDefault="00BF0467" w:rsidP="00BF046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0467" w:rsidRPr="00BF0467" w:rsidRDefault="00BF0467" w:rsidP="00BF0467">
      <w:pPr>
        <w:spacing w:after="160" w:line="259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BF0467">
        <w:rPr>
          <w:rFonts w:ascii="Times New Roman" w:hAnsi="Times New Roman" w:cs="Times New Roman"/>
          <w:b/>
          <w:bCs/>
          <w:lang w:val="ru-RU"/>
        </w:rPr>
        <w:t>УТВЕРЖДАЮ</w:t>
      </w:r>
    </w:p>
    <w:p w:rsidR="00BF0467" w:rsidRPr="00BF0467" w:rsidRDefault="00BF0467" w:rsidP="00BF0467">
      <w:pPr>
        <w:spacing w:after="160" w:line="259" w:lineRule="auto"/>
        <w:jc w:val="right"/>
        <w:rPr>
          <w:rFonts w:ascii="Times New Roman" w:hAnsi="Times New Roman" w:cs="Times New Roman"/>
          <w:b/>
          <w:lang w:val="ru-RU"/>
        </w:rPr>
      </w:pPr>
      <w:r w:rsidRPr="00BF0467">
        <w:rPr>
          <w:rFonts w:ascii="Times New Roman" w:hAnsi="Times New Roman" w:cs="Times New Roman"/>
          <w:b/>
          <w:lang w:val="ru-RU"/>
        </w:rPr>
        <w:t>Генеральный директор</w:t>
      </w:r>
    </w:p>
    <w:p w:rsidR="00BF0467" w:rsidRPr="00BF0467" w:rsidRDefault="00BF0467" w:rsidP="00BF0467">
      <w:pPr>
        <w:spacing w:after="160" w:line="259" w:lineRule="auto"/>
        <w:jc w:val="right"/>
        <w:rPr>
          <w:rFonts w:ascii="Times New Roman" w:hAnsi="Times New Roman" w:cs="Times New Roman"/>
          <w:b/>
          <w:lang w:val="ru-RU"/>
        </w:rPr>
      </w:pPr>
      <w:r w:rsidRPr="00BF0467">
        <w:rPr>
          <w:rFonts w:ascii="Times New Roman" w:hAnsi="Times New Roman" w:cs="Times New Roman"/>
          <w:b/>
          <w:lang w:val="ru-RU"/>
        </w:rPr>
        <w:t>ООО</w:t>
      </w:r>
      <w:r w:rsidRPr="00BF0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0467">
        <w:rPr>
          <w:rFonts w:ascii="Times New Roman" w:hAnsi="Times New Roman" w:cs="Times New Roman"/>
          <w:b/>
          <w:lang w:val="ru-RU"/>
        </w:rPr>
        <w:t>«Эттон</w:t>
      </w:r>
      <w:r w:rsidR="00C0015D">
        <w:rPr>
          <w:rFonts w:ascii="Times New Roman" w:hAnsi="Times New Roman" w:cs="Times New Roman"/>
          <w:b/>
          <w:lang w:val="ru-RU"/>
        </w:rPr>
        <w:t xml:space="preserve"> Груп»</w:t>
      </w:r>
    </w:p>
    <w:p w:rsidR="00BF0467" w:rsidRPr="00BF0467" w:rsidRDefault="00BF0467" w:rsidP="00BF0467">
      <w:pPr>
        <w:spacing w:after="160" w:line="259" w:lineRule="auto"/>
        <w:jc w:val="right"/>
        <w:rPr>
          <w:rFonts w:ascii="Times New Roman" w:hAnsi="Times New Roman" w:cs="Times New Roman"/>
          <w:b/>
          <w:lang w:val="ru-RU"/>
        </w:rPr>
      </w:pPr>
    </w:p>
    <w:p w:rsidR="00BF0467" w:rsidRPr="00192923" w:rsidRDefault="00BF0467" w:rsidP="00BF0467">
      <w:pPr>
        <w:spacing w:after="16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192923">
        <w:rPr>
          <w:rFonts w:ascii="Times New Roman" w:hAnsi="Times New Roman" w:cs="Times New Roman"/>
          <w:b/>
          <w:bCs/>
          <w:lang w:val="ru-RU"/>
        </w:rPr>
        <w:t>___________________</w:t>
      </w:r>
      <w:r w:rsidRPr="00192923">
        <w:rPr>
          <w:rFonts w:ascii="Times New Roman" w:hAnsi="Times New Roman" w:cs="Times New Roman"/>
          <w:lang w:val="ru-RU"/>
        </w:rPr>
        <w:t xml:space="preserve"> </w:t>
      </w:r>
      <w:r w:rsidRPr="00192923">
        <w:rPr>
          <w:rFonts w:ascii="Times New Roman" w:hAnsi="Times New Roman" w:cs="Times New Roman"/>
          <w:b/>
          <w:lang w:val="ru-RU"/>
        </w:rPr>
        <w:t>Е.С. Климов</w:t>
      </w:r>
    </w:p>
    <w:p w:rsidR="00BF0467" w:rsidRPr="00192923" w:rsidRDefault="00BF0467" w:rsidP="00BF0467">
      <w:pPr>
        <w:spacing w:after="160" w:line="360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192923">
        <w:rPr>
          <w:rFonts w:ascii="Times New Roman" w:hAnsi="Times New Roman" w:cs="Times New Roman"/>
          <w:b/>
          <w:bCs/>
          <w:lang w:val="ru-RU"/>
        </w:rPr>
        <w:t>«___»____________________ 2019г.</w:t>
      </w:r>
    </w:p>
    <w:p w:rsidR="00BF0467" w:rsidRPr="00192923" w:rsidRDefault="00BF0467" w:rsidP="00BF046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0467" w:rsidRPr="00192923" w:rsidRDefault="00BF0467" w:rsidP="00BF046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0467" w:rsidRPr="00BF0467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F0467">
        <w:rPr>
          <w:rFonts w:ascii="Times New Roman" w:hAnsi="Times New Roman" w:cs="Times New Roman"/>
          <w:bCs/>
          <w:sz w:val="28"/>
          <w:szCs w:val="28"/>
          <w:lang w:val="ru-RU"/>
        </w:rPr>
        <w:t>ТЕРРИТОРИАЛЬНАЯ СХЕМА</w:t>
      </w:r>
    </w:p>
    <w:p w:rsidR="00BF0467" w:rsidRPr="00BF0467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F0467">
        <w:rPr>
          <w:rFonts w:ascii="Times New Roman" w:hAnsi="Times New Roman" w:cs="Times New Roman"/>
          <w:bCs/>
          <w:sz w:val="28"/>
          <w:szCs w:val="28"/>
          <w:lang w:val="ru-RU"/>
        </w:rPr>
        <w:t>ОБРАЩЕНИЯ С ТВЕРДЫМИ КОММУНАЛЬНЫМИ ОТХОДАМИ</w:t>
      </w:r>
    </w:p>
    <w:p w:rsidR="00BF0467" w:rsidRPr="00BF0467" w:rsidRDefault="00BF0467" w:rsidP="00BF046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/>
        </w:rPr>
      </w:pPr>
    </w:p>
    <w:p w:rsidR="00BF0467" w:rsidRPr="00BF0467" w:rsidRDefault="00BF0467" w:rsidP="00BF046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/>
        </w:rPr>
      </w:pPr>
    </w:p>
    <w:p w:rsidR="00BF0467" w:rsidRP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F0467" w:rsidRPr="00BF0467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1</w:t>
      </w:r>
      <w:r w:rsidR="00B500A2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BF0467" w:rsidRPr="00BF0467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0467" w:rsidRPr="00BF0467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0467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0177C6">
        <w:rPr>
          <w:rFonts w:ascii="Times New Roman" w:hAnsi="Times New Roman" w:cs="Times New Roman"/>
          <w:b/>
          <w:sz w:val="28"/>
          <w:szCs w:val="28"/>
          <w:lang w:val="ru-RU"/>
        </w:rPr>
        <w:t>Прогнозные значения предельных тарифов в области обращения с твердыми коммунальными отходами</w:t>
      </w:r>
      <w:r w:rsidRPr="00BF046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F0467" w:rsidRP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F0467" w:rsidRP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F0467" w:rsidRP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F0467" w:rsidRP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F0467" w:rsidRP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F0467" w:rsidRP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775E6C" w:rsidRDefault="00775E6C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775E6C" w:rsidRDefault="00775E6C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775E6C" w:rsidRPr="00BF0467" w:rsidRDefault="00775E6C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F0467" w:rsidRDefault="00923321" w:rsidP="00BF04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Чувашская Республика</w:t>
      </w:r>
      <w:r w:rsidR="00BF0467" w:rsidRPr="00BF0467">
        <w:rPr>
          <w:rFonts w:ascii="Times New Roman" w:hAnsi="Times New Roman" w:cs="Times New Roman"/>
          <w:bCs/>
          <w:sz w:val="28"/>
          <w:szCs w:val="28"/>
          <w:lang w:val="ru-RU"/>
        </w:rPr>
        <w:t>, 2019</w:t>
      </w:r>
      <w:r w:rsidR="00BF0467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8A74FF" w:rsidRPr="008A74FF" w:rsidRDefault="00504642" w:rsidP="00A74395">
      <w:pPr>
        <w:pStyle w:val="afd"/>
        <w:rPr>
          <w:rFonts w:eastAsia="Calibri"/>
        </w:rPr>
      </w:pPr>
      <w:r w:rsidRPr="00A74395">
        <w:lastRenderedPageBreak/>
        <w:t>Обща</w:t>
      </w:r>
      <w:r w:rsidR="008A74FF" w:rsidRPr="00A74395">
        <w:t>я</w:t>
      </w:r>
      <w:r w:rsidR="008A74FF" w:rsidRPr="008A74FF">
        <w:t xml:space="preserve"> необходимая валовая выручка регионального оператора на каждый год определена как сумма расходов регионального оператора на оплату услуг по захоронению и </w:t>
      </w:r>
      <w:r w:rsidR="008A74FF">
        <w:t xml:space="preserve">обработке, а также </w:t>
      </w:r>
      <w:r w:rsidR="008A74FF" w:rsidRPr="008A74FF">
        <w:t>собственных расходов регионального оператора.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>В соответствии с пунктом 87 Методиче</w:t>
      </w:r>
      <w:r w:rsidR="005F347C">
        <w:rPr>
          <w:rFonts w:eastAsia="Calibri"/>
        </w:rPr>
        <w:t>ских указаний при определении</w:t>
      </w:r>
      <w:r w:rsidRPr="008A74FF">
        <w:rPr>
          <w:rFonts w:eastAsia="Calibri"/>
        </w:rPr>
        <w:t xml:space="preserve"> </w:t>
      </w:r>
      <w:r w:rsidRPr="008A74FF">
        <w:rPr>
          <w:rFonts w:eastAsia="Calibri"/>
          <w:b/>
        </w:rPr>
        <w:t>собственных расходов регионального оператора</w:t>
      </w:r>
      <w:r w:rsidRPr="008A74FF">
        <w:rPr>
          <w:rFonts w:eastAsia="Calibri"/>
        </w:rPr>
        <w:t xml:space="preserve"> </w:t>
      </w:r>
      <w:r>
        <w:rPr>
          <w:rFonts w:eastAsia="Calibri"/>
        </w:rPr>
        <w:t>должны быть</w:t>
      </w:r>
      <w:r w:rsidRPr="008A74FF">
        <w:rPr>
          <w:rFonts w:eastAsia="Calibri"/>
        </w:rPr>
        <w:t xml:space="preserve"> учтены следующие расходы:</w:t>
      </w:r>
    </w:p>
    <w:p w:rsidR="008A74FF" w:rsidRPr="008A74FF" w:rsidRDefault="008A74FF" w:rsidP="00A74395">
      <w:pPr>
        <w:pStyle w:val="afd"/>
      </w:pPr>
      <w:r w:rsidRPr="008A74FF">
        <w:t>- расходы на сбор и транспортирование твердых коммунальных отходов;</w:t>
      </w:r>
    </w:p>
    <w:p w:rsidR="008A74FF" w:rsidRPr="008A74FF" w:rsidRDefault="008A74FF" w:rsidP="00A74395">
      <w:pPr>
        <w:pStyle w:val="afd"/>
      </w:pPr>
      <w:r w:rsidRPr="008A74FF">
        <w:t>- расходы на заключение и обслуживание договоров с собственниками твердых коммунальных отходов и операторами по обращению с твердыми коммунальными отходами;</w:t>
      </w:r>
    </w:p>
    <w:p w:rsidR="008A74FF" w:rsidRPr="008A74FF" w:rsidRDefault="008A74FF" w:rsidP="00A74395">
      <w:pPr>
        <w:pStyle w:val="afd"/>
      </w:pPr>
      <w:r w:rsidRPr="008A74FF">
        <w:t>- сбытовые расходы регионального оператора;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  <w:b/>
        </w:rPr>
        <w:t>Расходы на</w:t>
      </w:r>
      <w:r w:rsidRPr="008A74FF">
        <w:rPr>
          <w:rFonts w:eastAsia="Calibri"/>
        </w:rPr>
        <w:t xml:space="preserve"> </w:t>
      </w:r>
      <w:r w:rsidRPr="008A74FF">
        <w:rPr>
          <w:rFonts w:eastAsia="Calibri"/>
          <w:b/>
        </w:rPr>
        <w:t>сбор и транспортирование ТКО</w:t>
      </w:r>
      <w:r w:rsidR="00D960C4">
        <w:rPr>
          <w:rFonts w:eastAsia="Calibri"/>
          <w:b/>
        </w:rPr>
        <w:t xml:space="preserve"> </w:t>
      </w:r>
      <w:r w:rsidR="00D960C4" w:rsidRPr="00D960C4">
        <w:rPr>
          <w:rFonts w:eastAsia="Calibri"/>
        </w:rPr>
        <w:t>определя</w:t>
      </w:r>
      <w:r w:rsidR="00D960C4">
        <w:rPr>
          <w:rFonts w:eastAsia="Calibri"/>
        </w:rPr>
        <w:t>ю</w:t>
      </w:r>
      <w:r w:rsidR="00D960C4" w:rsidRPr="00D960C4">
        <w:rPr>
          <w:rFonts w:eastAsia="Calibri"/>
        </w:rPr>
        <w:t xml:space="preserve">тся </w:t>
      </w:r>
      <w:r w:rsidR="00EB22AA">
        <w:rPr>
          <w:rFonts w:eastAsia="Calibri"/>
        </w:rPr>
        <w:t xml:space="preserve">в соответствии </w:t>
      </w:r>
      <w:r w:rsidR="00632E3F">
        <w:rPr>
          <w:rFonts w:eastAsia="Calibri"/>
        </w:rPr>
        <w:t xml:space="preserve">с </w:t>
      </w:r>
      <w:r w:rsidR="00632E3F">
        <w:rPr>
          <w:rFonts w:eastAsia="Times New Roman"/>
          <w:bCs/>
          <w:sz w:val="24"/>
          <w:szCs w:val="24"/>
          <w:lang w:eastAsia="ru-RU"/>
        </w:rPr>
        <w:t>МЕТОДИЧЕСКИМИ РЕКОМЕНДАЦИЯМИ</w:t>
      </w:r>
      <w:r w:rsidR="0031261D" w:rsidRPr="0031261D">
        <w:rPr>
          <w:rFonts w:eastAsia="Times New Roman"/>
          <w:bCs/>
          <w:sz w:val="24"/>
          <w:szCs w:val="24"/>
          <w:lang w:eastAsia="ru-RU"/>
        </w:rPr>
        <w:t xml:space="preserve"> ПО ОПРЕДЕЛЕНИЮ СТОИМОСТИ ВЫВОЗА ТВЕРДЫХ БЫТОВЫХ ОТХОДОВ</w:t>
      </w:r>
      <w:r w:rsidR="006B4FF4">
        <w:rPr>
          <w:rFonts w:eastAsia="Times New Roman"/>
          <w:bCs/>
          <w:sz w:val="24"/>
          <w:szCs w:val="24"/>
          <w:lang w:eastAsia="ru-RU"/>
        </w:rPr>
        <w:t xml:space="preserve"> (2005 г)</w:t>
      </w:r>
      <w:r w:rsidR="0031261D" w:rsidRPr="006B4FF4">
        <w:rPr>
          <w:rFonts w:eastAsia="Times New Roman"/>
          <w:sz w:val="24"/>
          <w:szCs w:val="24"/>
          <w:lang w:eastAsia="ru-RU"/>
        </w:rPr>
        <w:t xml:space="preserve"> 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  <w:b/>
        </w:rPr>
        <w:t xml:space="preserve">Расходы регионального оператора, связанные с организацией деятельности, заключением и </w:t>
      </w:r>
      <w:r w:rsidR="00A74395" w:rsidRPr="008A74FF">
        <w:rPr>
          <w:rFonts w:eastAsia="Calibri"/>
          <w:b/>
        </w:rPr>
        <w:t>обслуживанием договоров</w:t>
      </w:r>
      <w:r w:rsidR="00A74395" w:rsidRPr="008A74FF">
        <w:rPr>
          <w:rFonts w:eastAsia="Calibri"/>
        </w:rPr>
        <w:t xml:space="preserve"> с собственниками твердых коммунальных отходов,</w:t>
      </w:r>
      <w:r w:rsidRPr="008A74FF">
        <w:rPr>
          <w:rFonts w:eastAsia="Calibri"/>
        </w:rPr>
        <w:t xml:space="preserve"> и операторами по обращению с твердыми коммунальными отходами </w:t>
      </w:r>
      <w:r w:rsidR="00DD643E" w:rsidRPr="008A74FF">
        <w:rPr>
          <w:rFonts w:eastAsia="Calibri"/>
        </w:rPr>
        <w:t>включают следующие статьи расходов</w:t>
      </w:r>
      <w:r w:rsidR="00DD643E">
        <w:rPr>
          <w:rFonts w:eastAsia="Calibri"/>
        </w:rPr>
        <w:t>: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>- расходы на приобретение сырья и материалов и их хранение, в т.ч. мебель, оргтехнику, ГСМ, покупка контейнеров;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>- оплата труда персонала и отчисления на социальные нужды;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>- оплата производственных расходов (услуги связи, вневедомственной охраны, юридические, информационные и консультационные услуги, обслуживание ККМ, программное обеспечение и др.);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>- оплата услуг, не относящихся к прямым производственным расходам (командировки, техосмотр, обучение персонала);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>- лизинговые платежи (автомобил</w:t>
      </w:r>
      <w:r w:rsidR="00DD643E">
        <w:rPr>
          <w:rFonts w:eastAsia="Calibri"/>
        </w:rPr>
        <w:t>и</w:t>
      </w:r>
      <w:r w:rsidRPr="008A74FF">
        <w:rPr>
          <w:rFonts w:eastAsia="Calibri"/>
        </w:rPr>
        <w:t>);</w:t>
      </w:r>
    </w:p>
    <w:p w:rsidR="008A74FF" w:rsidRPr="00504642" w:rsidRDefault="008A74FF" w:rsidP="00A74395">
      <w:pPr>
        <w:pStyle w:val="afd"/>
        <w:rPr>
          <w:rFonts w:eastAsia="Calibri"/>
        </w:rPr>
      </w:pPr>
      <w:r w:rsidRPr="00504642">
        <w:rPr>
          <w:rFonts w:eastAsia="Calibri"/>
        </w:rPr>
        <w:t>- арендная плата;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 xml:space="preserve">- другие расходы (охрана труда и техника безопасности, канцтовары). 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>- налоги (налог на прибыль, транспортный налог);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>- обслуживание банковской гарантии;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lastRenderedPageBreak/>
        <w:t>- расходы на электроэнергию;</w:t>
      </w:r>
    </w:p>
    <w:p w:rsidR="008A74FF" w:rsidRP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</w:rPr>
        <w:t>- нормативная прибыль (расходы на выплаты социального характера работникам);</w:t>
      </w:r>
    </w:p>
    <w:p w:rsidR="008A74FF" w:rsidRDefault="008A74FF" w:rsidP="00A74395">
      <w:pPr>
        <w:pStyle w:val="afd"/>
        <w:rPr>
          <w:rFonts w:eastAsia="Calibri"/>
        </w:rPr>
      </w:pPr>
      <w:r w:rsidRPr="00504642">
        <w:rPr>
          <w:rFonts w:eastAsia="Calibri"/>
        </w:rPr>
        <w:t>- расчетная предпринимательская прибыль.</w:t>
      </w:r>
    </w:p>
    <w:p w:rsidR="00DD643E" w:rsidRDefault="00E55BEB" w:rsidP="00A74395">
      <w:pPr>
        <w:pStyle w:val="afd"/>
        <w:rPr>
          <w:rFonts w:eastAsia="Calibri"/>
        </w:rPr>
      </w:pPr>
      <w:r>
        <w:rPr>
          <w:rFonts w:eastAsia="Calibri"/>
        </w:rPr>
        <w:t>С учетом прогнозных показателей, предусмотренных прогнозом социально-экономического развития РФ, а также и</w:t>
      </w:r>
      <w:r w:rsidR="00DD643E">
        <w:rPr>
          <w:rFonts w:eastAsia="Calibri"/>
        </w:rPr>
        <w:t>сходя из анализа данных по прочим субъектам РФ</w:t>
      </w:r>
      <w:r w:rsidR="005F347C">
        <w:rPr>
          <w:rFonts w:eastAsia="Calibri"/>
        </w:rPr>
        <w:t>,</w:t>
      </w:r>
      <w:r w:rsidR="00DD643E">
        <w:rPr>
          <w:rFonts w:eastAsia="Calibri"/>
        </w:rPr>
        <w:t xml:space="preserve"> принимаем </w:t>
      </w:r>
      <w:r w:rsidRPr="00E55BEB">
        <w:rPr>
          <w:rFonts w:eastAsia="Calibri"/>
        </w:rPr>
        <w:t>расходы регионального оператора, связанные с организацией деятельности, заключением и обслуживанием договоров</w:t>
      </w:r>
      <w:r w:rsidR="005F347C">
        <w:rPr>
          <w:rFonts w:eastAsia="Calibri"/>
        </w:rPr>
        <w:t>,</w:t>
      </w:r>
      <w:r w:rsidRPr="00E55BEB">
        <w:rPr>
          <w:rFonts w:eastAsia="Calibri"/>
        </w:rPr>
        <w:t xml:space="preserve"> </w:t>
      </w:r>
      <w:r w:rsidR="00DD643E">
        <w:rPr>
          <w:rFonts w:eastAsia="Calibri"/>
        </w:rPr>
        <w:t>в размере 15%.</w:t>
      </w:r>
    </w:p>
    <w:p w:rsidR="008A74FF" w:rsidRDefault="008A74FF" w:rsidP="00A74395">
      <w:pPr>
        <w:pStyle w:val="afd"/>
        <w:rPr>
          <w:rFonts w:eastAsia="Calibri"/>
        </w:rPr>
      </w:pPr>
      <w:r w:rsidRPr="008A74FF">
        <w:rPr>
          <w:rFonts w:eastAsia="Calibri"/>
          <w:b/>
        </w:rPr>
        <w:t xml:space="preserve">К сбытовым расходам, </w:t>
      </w:r>
      <w:r w:rsidRPr="008A74FF">
        <w:rPr>
          <w:rFonts w:eastAsia="Calibri"/>
        </w:rPr>
        <w:t xml:space="preserve">в соответствии с пунктом 89 Методических указаний, относятся расходы по сомнительным долгам в размере фактической дебиторской задолженности, но не более 2 процентов необходимой валовой выручки, установленной для регионального оператора на предыдущий период регулирования, за который имеются подтвержденные бухгалтерской и статистической отчетностью данные. </w:t>
      </w:r>
    </w:p>
    <w:p w:rsidR="00053CD2" w:rsidRPr="008A74FF" w:rsidRDefault="00DD643E" w:rsidP="00A74395">
      <w:pPr>
        <w:pStyle w:val="afd"/>
        <w:rPr>
          <w:rFonts w:eastAsia="Calibri"/>
        </w:rPr>
      </w:pPr>
      <w:r>
        <w:rPr>
          <w:rFonts w:eastAsia="Calibri"/>
        </w:rPr>
        <w:t xml:space="preserve">При расчете прогнозных значений </w:t>
      </w:r>
      <w:r w:rsidR="00053CD2">
        <w:rPr>
          <w:rFonts w:eastAsia="Calibri"/>
        </w:rPr>
        <w:t xml:space="preserve">предельных </w:t>
      </w:r>
      <w:r>
        <w:rPr>
          <w:rFonts w:eastAsia="Calibri"/>
        </w:rPr>
        <w:t>тариф</w:t>
      </w:r>
      <w:r w:rsidR="00053CD2">
        <w:rPr>
          <w:rFonts w:eastAsia="Calibri"/>
        </w:rPr>
        <w:t>ов в области обращения с твердыми коммунальными отходами учитывается НДС в размере 20% (с 1 января 2019 года).</w:t>
      </w:r>
    </w:p>
    <w:p w:rsidR="005057A0" w:rsidRDefault="005057A0" w:rsidP="00A74395">
      <w:pPr>
        <w:pStyle w:val="afd"/>
      </w:pPr>
      <w:r>
        <w:t xml:space="preserve">В разделе </w:t>
      </w:r>
      <w:r w:rsidR="000177C6">
        <w:t>9</w:t>
      </w:r>
      <w:r>
        <w:t xml:space="preserve"> настоящей территориальной схемы представ</w:t>
      </w:r>
      <w:r w:rsidR="005F347C">
        <w:t>лены три варианта</w:t>
      </w:r>
      <w:r w:rsidR="00192923">
        <w:t xml:space="preserve"> схем потоков</w:t>
      </w:r>
      <w:r>
        <w:t xml:space="preserve">, а именно переходный, перспективный и аварийный варианты движения потоков отходов. Рассмотрим инвестиционные составляющие и тарифные планы по каждому варианту для каждой конкретной зоны. </w:t>
      </w:r>
    </w:p>
    <w:p w:rsidR="000177C6" w:rsidRDefault="000177C6" w:rsidP="00A74395">
      <w:pPr>
        <w:pStyle w:val="afd"/>
      </w:pPr>
      <w:r>
        <w:t>Для расчета средних предельных тарифов по каждой схеме потоков производился расчет:</w:t>
      </w:r>
    </w:p>
    <w:p w:rsidR="000177C6" w:rsidRPr="00227787" w:rsidRDefault="000177C6" w:rsidP="00A74395">
      <w:pPr>
        <w:pStyle w:val="afd"/>
      </w:pPr>
      <w:r w:rsidRPr="00227787">
        <w:t xml:space="preserve">транспортного плеча для каждого населенного пункта Республики Карелия; </w:t>
      </w:r>
    </w:p>
    <w:p w:rsidR="000177C6" w:rsidRPr="00227787" w:rsidRDefault="000177C6" w:rsidP="00A74395">
      <w:pPr>
        <w:pStyle w:val="afd"/>
      </w:pPr>
      <w:r w:rsidRPr="00227787">
        <w:t>среднего транспортного плеча для каждого муниципального образования Республики Карелия, в соотношении с количеством отходов, производимым в каждом населенном пункте;</w:t>
      </w:r>
    </w:p>
    <w:p w:rsidR="000177C6" w:rsidRDefault="000177C6" w:rsidP="00A74395">
      <w:pPr>
        <w:pStyle w:val="afd"/>
      </w:pPr>
      <w:r w:rsidRPr="00227787">
        <w:t>среднего тарифа захоронения, учитывающего объем отходов, размещаемый на каждом задействованном в схеме потоков</w:t>
      </w:r>
      <w:r w:rsidR="00227787" w:rsidRPr="00227787">
        <w:t xml:space="preserve"> объекте захоронения отходов.</w:t>
      </w:r>
      <w:r w:rsidRPr="00227787">
        <w:t xml:space="preserve"> </w:t>
      </w:r>
    </w:p>
    <w:p w:rsidR="00227787" w:rsidRDefault="00227787" w:rsidP="00A74395">
      <w:pPr>
        <w:pStyle w:val="afd"/>
      </w:pPr>
      <w:r>
        <w:lastRenderedPageBreak/>
        <w:t xml:space="preserve">Расчет предельных тарифов регионального оператора представлен в приложении </w:t>
      </w:r>
      <w:r w:rsidR="0024637A">
        <w:t>1</w:t>
      </w:r>
      <w:r w:rsidR="00B500A2">
        <w:t>2</w:t>
      </w:r>
      <w:r w:rsidR="0024637A">
        <w:t>.2; 1</w:t>
      </w:r>
      <w:r w:rsidR="00B500A2">
        <w:t>2</w:t>
      </w:r>
      <w:r w:rsidR="0024637A">
        <w:t>.3</w:t>
      </w:r>
      <w:r w:rsidR="00AF74F1">
        <w:t>.</w:t>
      </w:r>
    </w:p>
    <w:p w:rsidR="00227787" w:rsidRDefault="00227787" w:rsidP="00A74395">
      <w:pPr>
        <w:pStyle w:val="afd"/>
      </w:pPr>
      <w:r>
        <w:t xml:space="preserve">Сравнительный анализ транспортных плеч для всех запланированных схем потоков представлен в </w:t>
      </w:r>
      <w:r w:rsidR="002260DD">
        <w:t xml:space="preserve">приложении </w:t>
      </w:r>
      <w:r>
        <w:t>1</w:t>
      </w:r>
      <w:r w:rsidR="00B500A2">
        <w:t>2</w:t>
      </w:r>
      <w:r>
        <w:t>.1.</w:t>
      </w:r>
    </w:p>
    <w:p w:rsidR="00BF0467" w:rsidRDefault="00BF0467" w:rsidP="00A74395">
      <w:pPr>
        <w:pStyle w:val="afd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7787" w:rsidRDefault="00227787" w:rsidP="00A74395">
      <w:pPr>
        <w:pStyle w:val="afd"/>
      </w:pPr>
    </w:p>
    <w:p w:rsidR="00E047E6" w:rsidRPr="00E047E6" w:rsidRDefault="00E047E6" w:rsidP="00A74395">
      <w:pPr>
        <w:pStyle w:val="afd"/>
        <w:rPr>
          <w:b/>
        </w:rPr>
      </w:pPr>
      <w:r w:rsidRPr="00E047E6">
        <w:rPr>
          <w:b/>
        </w:rPr>
        <w:t>Результаты расчета среднего предельного тарифа для переходной схемы потоков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686"/>
      </w:tblGrid>
      <w:tr w:rsidR="00B500A2" w:rsidRPr="002A71D2" w:rsidTr="00D212A3">
        <w:trPr>
          <w:trHeight w:val="735"/>
        </w:trPr>
        <w:tc>
          <w:tcPr>
            <w:tcW w:w="5827" w:type="dxa"/>
            <w:shd w:val="clear" w:color="auto" w:fill="auto"/>
            <w:vAlign w:val="bottom"/>
            <w:hideMark/>
          </w:tcPr>
          <w:p w:rsidR="00B500A2" w:rsidRPr="002A71D2" w:rsidRDefault="00B500A2" w:rsidP="00D212A3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>Средний тариф на транспортировку, захоронение, НВОС 1 куб. м ТКО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00A2" w:rsidRPr="00B500A2" w:rsidRDefault="00B500A2" w:rsidP="00B50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455,4</w:t>
            </w:r>
          </w:p>
        </w:tc>
      </w:tr>
      <w:tr w:rsidR="00B500A2" w:rsidRPr="002A71D2" w:rsidTr="00D212A3">
        <w:trPr>
          <w:trHeight w:val="402"/>
        </w:trPr>
        <w:tc>
          <w:tcPr>
            <w:tcW w:w="5827" w:type="dxa"/>
            <w:shd w:val="clear" w:color="auto" w:fill="auto"/>
            <w:vAlign w:val="bottom"/>
            <w:hideMark/>
          </w:tcPr>
          <w:p w:rsidR="00B500A2" w:rsidRPr="002A71D2" w:rsidRDefault="00B500A2" w:rsidP="00B500A2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 xml:space="preserve">Средний тариф на </w:t>
            </w:r>
            <w:r>
              <w:rPr>
                <w:color w:val="000000"/>
              </w:rPr>
              <w:t>обработку</w:t>
            </w:r>
            <w:r w:rsidRPr="002A71D2">
              <w:rPr>
                <w:color w:val="000000"/>
              </w:rPr>
              <w:t xml:space="preserve"> 1 куб. м ТКО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00A2" w:rsidRPr="00B500A2" w:rsidRDefault="00B500A2" w:rsidP="00B50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B500A2" w:rsidRPr="002A71D2" w:rsidTr="00D212A3">
        <w:trPr>
          <w:trHeight w:val="402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500A2" w:rsidRPr="002A71D2" w:rsidRDefault="00B500A2" w:rsidP="00D212A3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 xml:space="preserve">Собственные затраты рег. оператора </w:t>
            </w:r>
            <w:bookmarkStart w:id="0" w:name="_GoBack"/>
            <w:bookmarkEnd w:id="0"/>
            <w:r w:rsidRPr="002A71D2">
              <w:rPr>
                <w:color w:val="000000"/>
              </w:rPr>
              <w:t>17%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00A2" w:rsidRPr="00B500A2" w:rsidRDefault="00B500A2" w:rsidP="00B50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117,8486364</w:t>
            </w:r>
          </w:p>
        </w:tc>
      </w:tr>
      <w:tr w:rsidR="00B500A2" w:rsidRPr="002A71D2" w:rsidTr="00D212A3">
        <w:trPr>
          <w:trHeight w:val="402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500A2" w:rsidRPr="002A71D2" w:rsidRDefault="00B500A2" w:rsidP="00D212A3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>НДС 20%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00A2" w:rsidRPr="00B500A2" w:rsidRDefault="00B500A2" w:rsidP="00B50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138,6454546</w:t>
            </w:r>
          </w:p>
        </w:tc>
      </w:tr>
      <w:tr w:rsidR="00B500A2" w:rsidRPr="00B500A2" w:rsidTr="00D212A3">
        <w:trPr>
          <w:trHeight w:val="402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500A2" w:rsidRPr="002A71D2" w:rsidRDefault="00B500A2" w:rsidP="00D212A3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>Комплексный тариф руб</w:t>
            </w:r>
            <w:r>
              <w:rPr>
                <w:color w:val="000000"/>
              </w:rPr>
              <w:t>.</w:t>
            </w:r>
            <w:r w:rsidRPr="002A71D2">
              <w:rPr>
                <w:color w:val="000000"/>
              </w:rPr>
              <w:t>/куб.м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00A2" w:rsidRPr="00B500A2" w:rsidRDefault="00B500A2" w:rsidP="00B50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0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831,9</w:t>
            </w:r>
          </w:p>
        </w:tc>
      </w:tr>
    </w:tbl>
    <w:p w:rsidR="00E047E6" w:rsidRPr="00E047E6" w:rsidRDefault="00E047E6" w:rsidP="00A74395">
      <w:pPr>
        <w:pStyle w:val="afd"/>
        <w:rPr>
          <w:b/>
        </w:rPr>
      </w:pPr>
      <w:r w:rsidRPr="00E047E6">
        <w:rPr>
          <w:b/>
        </w:rPr>
        <w:t xml:space="preserve">Результаты расчета среднего предельного тарифа для </w:t>
      </w:r>
      <w:r>
        <w:rPr>
          <w:b/>
        </w:rPr>
        <w:t>перспективной</w:t>
      </w:r>
      <w:r w:rsidRPr="00E047E6">
        <w:rPr>
          <w:b/>
        </w:rPr>
        <w:t xml:space="preserve"> схемы потоков</w:t>
      </w:r>
      <w:r w:rsidR="0024637A">
        <w:rPr>
          <w:b/>
        </w:rPr>
        <w:t xml:space="preserve"> зоны 1</w:t>
      </w: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3402"/>
      </w:tblGrid>
      <w:tr w:rsidR="002A71D2" w:rsidRPr="00923321" w:rsidTr="00B500A2">
        <w:trPr>
          <w:trHeight w:val="402"/>
        </w:trPr>
        <w:tc>
          <w:tcPr>
            <w:tcW w:w="6115" w:type="dxa"/>
            <w:shd w:val="clear" w:color="auto" w:fill="auto"/>
            <w:vAlign w:val="bottom"/>
            <w:hideMark/>
          </w:tcPr>
          <w:p w:rsidR="002A71D2" w:rsidRPr="002A71D2" w:rsidRDefault="002A71D2" w:rsidP="00D212A3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>Средний тариф на транспортировку, захоронение, НВОС 1 куб. м ТКО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A71D2" w:rsidRPr="002A71D2" w:rsidRDefault="002A71D2" w:rsidP="00A74395">
            <w:pPr>
              <w:pStyle w:val="afd"/>
              <w:rPr>
                <w:color w:val="000000"/>
              </w:rPr>
            </w:pPr>
          </w:p>
        </w:tc>
      </w:tr>
      <w:tr w:rsidR="002A71D2" w:rsidRPr="00923321" w:rsidTr="00B500A2">
        <w:trPr>
          <w:trHeight w:val="402"/>
        </w:trPr>
        <w:tc>
          <w:tcPr>
            <w:tcW w:w="6115" w:type="dxa"/>
            <w:shd w:val="clear" w:color="auto" w:fill="auto"/>
            <w:vAlign w:val="bottom"/>
            <w:hideMark/>
          </w:tcPr>
          <w:p w:rsidR="002A71D2" w:rsidRPr="002A71D2" w:rsidRDefault="002A71D2" w:rsidP="00B500A2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 xml:space="preserve">Средний тариф на </w:t>
            </w:r>
            <w:r w:rsidR="00B500A2">
              <w:rPr>
                <w:color w:val="000000"/>
              </w:rPr>
              <w:t>обработку</w:t>
            </w:r>
            <w:r w:rsidRPr="002A71D2">
              <w:rPr>
                <w:color w:val="000000"/>
              </w:rPr>
              <w:t xml:space="preserve"> 1 куб. м ТКО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A71D2" w:rsidRPr="002A71D2" w:rsidRDefault="002A71D2" w:rsidP="00A74395">
            <w:pPr>
              <w:pStyle w:val="afd"/>
              <w:rPr>
                <w:color w:val="000000"/>
              </w:rPr>
            </w:pPr>
          </w:p>
        </w:tc>
      </w:tr>
      <w:tr w:rsidR="002A71D2" w:rsidRPr="002A71D2" w:rsidTr="00B500A2">
        <w:trPr>
          <w:trHeight w:val="402"/>
        </w:trPr>
        <w:tc>
          <w:tcPr>
            <w:tcW w:w="6115" w:type="dxa"/>
            <w:shd w:val="clear" w:color="auto" w:fill="auto"/>
            <w:noWrap/>
            <w:vAlign w:val="bottom"/>
            <w:hideMark/>
          </w:tcPr>
          <w:p w:rsidR="002A71D2" w:rsidRPr="002A71D2" w:rsidRDefault="002A71D2" w:rsidP="00D212A3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>Собственные затраты рег. оператора 17%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A71D2" w:rsidRPr="002A71D2" w:rsidRDefault="002A71D2" w:rsidP="00A74395">
            <w:pPr>
              <w:pStyle w:val="afd"/>
              <w:rPr>
                <w:color w:val="000000"/>
              </w:rPr>
            </w:pPr>
          </w:p>
        </w:tc>
      </w:tr>
      <w:tr w:rsidR="002A71D2" w:rsidRPr="002A71D2" w:rsidTr="00B500A2">
        <w:trPr>
          <w:trHeight w:val="402"/>
        </w:trPr>
        <w:tc>
          <w:tcPr>
            <w:tcW w:w="6115" w:type="dxa"/>
            <w:shd w:val="clear" w:color="auto" w:fill="auto"/>
            <w:noWrap/>
            <w:vAlign w:val="bottom"/>
            <w:hideMark/>
          </w:tcPr>
          <w:p w:rsidR="002A71D2" w:rsidRPr="002A71D2" w:rsidRDefault="002A71D2" w:rsidP="00D212A3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>НДС 20%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A71D2" w:rsidRPr="002A71D2" w:rsidRDefault="002A71D2" w:rsidP="00A74395">
            <w:pPr>
              <w:pStyle w:val="afd"/>
              <w:rPr>
                <w:color w:val="000000"/>
              </w:rPr>
            </w:pPr>
          </w:p>
        </w:tc>
      </w:tr>
      <w:tr w:rsidR="002A71D2" w:rsidRPr="00923321" w:rsidTr="00B500A2">
        <w:trPr>
          <w:trHeight w:val="402"/>
        </w:trPr>
        <w:tc>
          <w:tcPr>
            <w:tcW w:w="6115" w:type="dxa"/>
            <w:shd w:val="clear" w:color="auto" w:fill="auto"/>
            <w:noWrap/>
            <w:vAlign w:val="bottom"/>
            <w:hideMark/>
          </w:tcPr>
          <w:p w:rsidR="002A71D2" w:rsidRPr="002A71D2" w:rsidRDefault="002A71D2" w:rsidP="00D212A3">
            <w:pPr>
              <w:pStyle w:val="afd"/>
              <w:ind w:firstLine="0"/>
              <w:rPr>
                <w:color w:val="000000"/>
              </w:rPr>
            </w:pPr>
            <w:r w:rsidRPr="002A71D2">
              <w:rPr>
                <w:color w:val="000000"/>
              </w:rPr>
              <w:t>Комплексный тариф руб/куб.м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A71D2" w:rsidRPr="002A71D2" w:rsidRDefault="002A71D2" w:rsidP="00A74395">
            <w:pPr>
              <w:pStyle w:val="afd"/>
              <w:rPr>
                <w:color w:val="000000"/>
              </w:rPr>
            </w:pPr>
          </w:p>
        </w:tc>
      </w:tr>
    </w:tbl>
    <w:p w:rsidR="005057A0" w:rsidRPr="005057A0" w:rsidRDefault="005057A0" w:rsidP="00B500A2">
      <w:pPr>
        <w:pStyle w:val="afd"/>
      </w:pPr>
    </w:p>
    <w:sectPr w:rsidR="005057A0" w:rsidRPr="005057A0" w:rsidSect="00632E3F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4F" w:rsidRDefault="007C504F" w:rsidP="00632E3F">
      <w:pPr>
        <w:spacing w:after="0" w:line="240" w:lineRule="auto"/>
      </w:pPr>
      <w:r>
        <w:separator/>
      </w:r>
    </w:p>
  </w:endnote>
  <w:endnote w:type="continuationSeparator" w:id="0">
    <w:p w:rsidR="007C504F" w:rsidRDefault="007C504F" w:rsidP="0063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637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2E3F" w:rsidRPr="00632E3F" w:rsidRDefault="005C0083">
        <w:pPr>
          <w:pStyle w:val="af8"/>
          <w:jc w:val="center"/>
          <w:rPr>
            <w:rFonts w:ascii="Times New Roman" w:hAnsi="Times New Roman" w:cs="Times New Roman"/>
          </w:rPr>
        </w:pPr>
        <w:r w:rsidRPr="00632E3F">
          <w:rPr>
            <w:rFonts w:ascii="Times New Roman" w:hAnsi="Times New Roman" w:cs="Times New Roman"/>
          </w:rPr>
          <w:fldChar w:fldCharType="begin"/>
        </w:r>
        <w:r w:rsidR="00632E3F" w:rsidRPr="00632E3F">
          <w:rPr>
            <w:rFonts w:ascii="Times New Roman" w:hAnsi="Times New Roman" w:cs="Times New Roman"/>
          </w:rPr>
          <w:instrText>PAGE   \* MERGEFORMAT</w:instrText>
        </w:r>
        <w:r w:rsidRPr="00632E3F">
          <w:rPr>
            <w:rFonts w:ascii="Times New Roman" w:hAnsi="Times New Roman" w:cs="Times New Roman"/>
          </w:rPr>
          <w:fldChar w:fldCharType="separate"/>
        </w:r>
        <w:r w:rsidR="00923321" w:rsidRPr="00923321">
          <w:rPr>
            <w:rFonts w:ascii="Times New Roman" w:hAnsi="Times New Roman" w:cs="Times New Roman"/>
            <w:noProof/>
            <w:lang w:val="ru-RU"/>
          </w:rPr>
          <w:t>2</w:t>
        </w:r>
        <w:r w:rsidRPr="00632E3F">
          <w:rPr>
            <w:rFonts w:ascii="Times New Roman" w:hAnsi="Times New Roman" w:cs="Times New Roman"/>
          </w:rPr>
          <w:fldChar w:fldCharType="end"/>
        </w:r>
      </w:p>
    </w:sdtContent>
  </w:sdt>
  <w:p w:rsidR="00632E3F" w:rsidRDefault="00632E3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4F" w:rsidRDefault="007C504F" w:rsidP="00632E3F">
      <w:pPr>
        <w:spacing w:after="0" w:line="240" w:lineRule="auto"/>
      </w:pPr>
      <w:r>
        <w:separator/>
      </w:r>
    </w:p>
  </w:footnote>
  <w:footnote w:type="continuationSeparator" w:id="0">
    <w:p w:rsidR="007C504F" w:rsidRDefault="007C504F" w:rsidP="0063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12D"/>
    <w:multiLevelType w:val="hybridMultilevel"/>
    <w:tmpl w:val="D4762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1644CE"/>
    <w:multiLevelType w:val="hybridMultilevel"/>
    <w:tmpl w:val="AD064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7A0"/>
    <w:rsid w:val="000177C6"/>
    <w:rsid w:val="00053CD2"/>
    <w:rsid w:val="0009619B"/>
    <w:rsid w:val="000C1322"/>
    <w:rsid w:val="00124872"/>
    <w:rsid w:val="00152031"/>
    <w:rsid w:val="00192923"/>
    <w:rsid w:val="001E1597"/>
    <w:rsid w:val="001E2A91"/>
    <w:rsid w:val="002260DD"/>
    <w:rsid w:val="00227787"/>
    <w:rsid w:val="0024637A"/>
    <w:rsid w:val="002A71D2"/>
    <w:rsid w:val="002F1794"/>
    <w:rsid w:val="002F7A28"/>
    <w:rsid w:val="00303459"/>
    <w:rsid w:val="0031261D"/>
    <w:rsid w:val="00455FAF"/>
    <w:rsid w:val="00504642"/>
    <w:rsid w:val="005057A0"/>
    <w:rsid w:val="00521754"/>
    <w:rsid w:val="0052646F"/>
    <w:rsid w:val="005552CD"/>
    <w:rsid w:val="00563586"/>
    <w:rsid w:val="005C0083"/>
    <w:rsid w:val="005F347C"/>
    <w:rsid w:val="00632E3F"/>
    <w:rsid w:val="00660667"/>
    <w:rsid w:val="006B4FF4"/>
    <w:rsid w:val="006F1FBD"/>
    <w:rsid w:val="00747F37"/>
    <w:rsid w:val="00775E6C"/>
    <w:rsid w:val="007C504F"/>
    <w:rsid w:val="00887C14"/>
    <w:rsid w:val="008A74FF"/>
    <w:rsid w:val="00923321"/>
    <w:rsid w:val="009F5674"/>
    <w:rsid w:val="00A33A38"/>
    <w:rsid w:val="00A73A20"/>
    <w:rsid w:val="00A74395"/>
    <w:rsid w:val="00A8447A"/>
    <w:rsid w:val="00AF74F1"/>
    <w:rsid w:val="00B500A2"/>
    <w:rsid w:val="00BF0467"/>
    <w:rsid w:val="00C0015D"/>
    <w:rsid w:val="00C41E62"/>
    <w:rsid w:val="00C635F3"/>
    <w:rsid w:val="00C95F34"/>
    <w:rsid w:val="00D212A3"/>
    <w:rsid w:val="00D960C4"/>
    <w:rsid w:val="00DC60C4"/>
    <w:rsid w:val="00DD643E"/>
    <w:rsid w:val="00DE24C5"/>
    <w:rsid w:val="00E047E6"/>
    <w:rsid w:val="00E429C6"/>
    <w:rsid w:val="00E42A6D"/>
    <w:rsid w:val="00E55BEB"/>
    <w:rsid w:val="00E8129E"/>
    <w:rsid w:val="00EB22AA"/>
    <w:rsid w:val="00ED3830"/>
    <w:rsid w:val="00EE5CF4"/>
    <w:rsid w:val="00EE64A9"/>
    <w:rsid w:val="00EF64C7"/>
    <w:rsid w:val="00FA1553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8D38C-D737-4815-AD41-2CEC8B34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0"/>
  </w:style>
  <w:style w:type="paragraph" w:styleId="1">
    <w:name w:val="heading 1"/>
    <w:basedOn w:val="a"/>
    <w:next w:val="a"/>
    <w:link w:val="10"/>
    <w:uiPriority w:val="9"/>
    <w:qFormat/>
    <w:rsid w:val="00521754"/>
    <w:pPr>
      <w:spacing w:before="600" w:after="120"/>
      <w:contextualSpacing/>
      <w:jc w:val="both"/>
      <w:outlineLvl w:val="0"/>
    </w:pPr>
    <w:rPr>
      <w:rFonts w:ascii="Times New Roman" w:hAnsi="Times New Roman"/>
      <w:b/>
      <w:spacing w:val="5"/>
      <w:sz w:val="28"/>
      <w:szCs w:val="36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A20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1754"/>
    <w:rPr>
      <w:rFonts w:ascii="Times New Roman" w:hAnsi="Times New Roman"/>
      <w:b/>
      <w:spacing w:val="5"/>
      <w:sz w:val="28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paragraph" w:customStyle="1" w:styleId="-11">
    <w:name w:val="Цветной список - Акцент 11"/>
    <w:basedOn w:val="a"/>
    <w:uiPriority w:val="34"/>
    <w:qFormat/>
    <w:rsid w:val="008A74F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val="ru-RU"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8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74FF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227787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3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32E3F"/>
  </w:style>
  <w:style w:type="paragraph" w:styleId="af8">
    <w:name w:val="footer"/>
    <w:basedOn w:val="a"/>
    <w:link w:val="af9"/>
    <w:uiPriority w:val="99"/>
    <w:unhideWhenUsed/>
    <w:rsid w:val="0063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32E3F"/>
  </w:style>
  <w:style w:type="paragraph" w:customStyle="1" w:styleId="afa">
    <w:name w:val="Таблица"/>
    <w:basedOn w:val="a"/>
    <w:link w:val="afb"/>
    <w:qFormat/>
    <w:rsid w:val="005F347C"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b">
    <w:name w:val="Таблица Знак"/>
    <w:basedOn w:val="a0"/>
    <w:link w:val="afa"/>
    <w:rsid w:val="005F347C"/>
    <w:rPr>
      <w:rFonts w:ascii="Times New Roman" w:hAnsi="Times New Roman" w:cs="Times New Roman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521754"/>
    <w:pPr>
      <w:spacing w:after="100"/>
    </w:pPr>
  </w:style>
  <w:style w:type="character" w:styleId="afc">
    <w:name w:val="Hyperlink"/>
    <w:basedOn w:val="a0"/>
    <w:uiPriority w:val="99"/>
    <w:unhideWhenUsed/>
    <w:rsid w:val="00521754"/>
    <w:rPr>
      <w:color w:val="0000FF" w:themeColor="hyperlink"/>
      <w:u w:val="single"/>
    </w:rPr>
  </w:style>
  <w:style w:type="paragraph" w:customStyle="1" w:styleId="afd">
    <w:name w:val="_Абзац"/>
    <w:basedOn w:val="a"/>
    <w:link w:val="afe"/>
    <w:qFormat/>
    <w:rsid w:val="00A7439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e">
    <w:name w:val="_Абзац Знак"/>
    <w:basedOn w:val="a0"/>
    <w:link w:val="afd"/>
    <w:rsid w:val="00A74395"/>
    <w:rPr>
      <w:rFonts w:ascii="Times New Roman" w:hAnsi="Times New Roman" w:cs="Times New Roman"/>
      <w:sz w:val="28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6D63-289D-4DCB-BB01-0FF11162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 Исхакова</cp:lastModifiedBy>
  <cp:revision>5</cp:revision>
  <dcterms:created xsi:type="dcterms:W3CDTF">2019-08-05T09:32:00Z</dcterms:created>
  <dcterms:modified xsi:type="dcterms:W3CDTF">2019-10-07T09:53:00Z</dcterms:modified>
</cp:coreProperties>
</file>