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55" w:rsidRPr="0005376D" w:rsidRDefault="009C4555" w:rsidP="004F6F1B">
      <w:pPr>
        <w:tabs>
          <w:tab w:val="left" w:pos="5812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05376D">
        <w:rPr>
          <w:rFonts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9C4555" w:rsidRPr="0005376D" w:rsidRDefault="009C4555" w:rsidP="004F6F1B">
      <w:pPr>
        <w:tabs>
          <w:tab w:val="left" w:pos="5812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05376D">
        <w:rPr>
          <w:rFonts w:cs="Times New Roman"/>
          <w:b/>
          <w:sz w:val="28"/>
          <w:szCs w:val="28"/>
        </w:rPr>
        <w:t xml:space="preserve">«ЭТТОН </w:t>
      </w:r>
      <w:r w:rsidR="00656577">
        <w:rPr>
          <w:rFonts w:cs="Times New Roman"/>
          <w:b/>
          <w:sz w:val="28"/>
          <w:szCs w:val="28"/>
        </w:rPr>
        <w:t>ГРУП</w:t>
      </w:r>
      <w:r w:rsidRPr="0005376D">
        <w:rPr>
          <w:rFonts w:cs="Times New Roman"/>
          <w:b/>
          <w:sz w:val="28"/>
          <w:szCs w:val="28"/>
        </w:rPr>
        <w:t>»</w:t>
      </w:r>
    </w:p>
    <w:p w:rsidR="009C4555" w:rsidRPr="0005376D" w:rsidRDefault="009C4555" w:rsidP="009C4555">
      <w:pPr>
        <w:rPr>
          <w:rFonts w:cs="Times New Roman"/>
          <w:b/>
          <w:bCs/>
          <w:sz w:val="28"/>
          <w:szCs w:val="28"/>
        </w:rPr>
      </w:pPr>
    </w:p>
    <w:p w:rsidR="009C4555" w:rsidRPr="0005376D" w:rsidRDefault="009C4555" w:rsidP="009C4555">
      <w:pPr>
        <w:rPr>
          <w:rFonts w:cs="Times New Roman"/>
          <w:b/>
          <w:bCs/>
          <w:sz w:val="28"/>
          <w:szCs w:val="28"/>
        </w:rPr>
      </w:pPr>
    </w:p>
    <w:p w:rsidR="009C4555" w:rsidRPr="0005376D" w:rsidRDefault="009C4555" w:rsidP="009C4555">
      <w:pPr>
        <w:jc w:val="right"/>
        <w:rPr>
          <w:rFonts w:cs="Times New Roman"/>
          <w:b/>
          <w:bCs/>
        </w:rPr>
      </w:pPr>
      <w:r w:rsidRPr="0005376D">
        <w:rPr>
          <w:rFonts w:cs="Times New Roman"/>
          <w:b/>
          <w:bCs/>
        </w:rPr>
        <w:t>УТВЕРЖДАЮ</w:t>
      </w:r>
    </w:p>
    <w:p w:rsidR="009C4555" w:rsidRPr="0005376D" w:rsidRDefault="009C4555" w:rsidP="009C4555">
      <w:pPr>
        <w:jc w:val="right"/>
        <w:rPr>
          <w:rFonts w:cs="Times New Roman"/>
          <w:b/>
        </w:rPr>
      </w:pPr>
      <w:r w:rsidRPr="0005376D">
        <w:rPr>
          <w:rFonts w:cs="Times New Roman"/>
          <w:b/>
        </w:rPr>
        <w:t>Генеральный директор</w:t>
      </w:r>
    </w:p>
    <w:p w:rsidR="009C4555" w:rsidRPr="0005376D" w:rsidRDefault="009C4555" w:rsidP="009C4555">
      <w:pPr>
        <w:jc w:val="right"/>
        <w:rPr>
          <w:rFonts w:cs="Times New Roman"/>
          <w:b/>
        </w:rPr>
      </w:pPr>
      <w:r w:rsidRPr="0005376D">
        <w:rPr>
          <w:rFonts w:cs="Times New Roman"/>
          <w:b/>
        </w:rPr>
        <w:t>ООО</w:t>
      </w:r>
      <w:r w:rsidRPr="0005376D">
        <w:rPr>
          <w:rFonts w:cs="Times New Roman"/>
          <w:sz w:val="28"/>
          <w:szCs w:val="28"/>
        </w:rPr>
        <w:t xml:space="preserve"> </w:t>
      </w:r>
      <w:r w:rsidRPr="0005376D">
        <w:rPr>
          <w:rFonts w:cs="Times New Roman"/>
          <w:b/>
        </w:rPr>
        <w:t>«Эттон</w:t>
      </w:r>
      <w:r w:rsidR="00656577">
        <w:rPr>
          <w:rFonts w:cs="Times New Roman"/>
          <w:b/>
        </w:rPr>
        <w:t xml:space="preserve"> Груп»</w:t>
      </w:r>
    </w:p>
    <w:p w:rsidR="009C4555" w:rsidRPr="0005376D" w:rsidRDefault="009C4555" w:rsidP="009C4555">
      <w:pPr>
        <w:jc w:val="right"/>
        <w:rPr>
          <w:rFonts w:cs="Times New Roman"/>
          <w:b/>
        </w:rPr>
      </w:pPr>
    </w:p>
    <w:p w:rsidR="009C4555" w:rsidRPr="0005376D" w:rsidRDefault="009C4555" w:rsidP="009C4555">
      <w:pPr>
        <w:spacing w:line="360" w:lineRule="auto"/>
        <w:jc w:val="right"/>
        <w:rPr>
          <w:rFonts w:cs="Times New Roman"/>
          <w:b/>
        </w:rPr>
      </w:pPr>
      <w:r w:rsidRPr="0005376D">
        <w:rPr>
          <w:rFonts w:cs="Times New Roman"/>
          <w:b/>
          <w:bCs/>
        </w:rPr>
        <w:t>___________________</w:t>
      </w:r>
      <w:r w:rsidRPr="0005376D">
        <w:rPr>
          <w:rFonts w:cs="Times New Roman"/>
        </w:rPr>
        <w:t xml:space="preserve"> </w:t>
      </w:r>
      <w:r w:rsidRPr="0005376D">
        <w:rPr>
          <w:rFonts w:cs="Times New Roman"/>
          <w:b/>
        </w:rPr>
        <w:t>Е.С. Климов</w:t>
      </w:r>
    </w:p>
    <w:p w:rsidR="009C4555" w:rsidRPr="0005376D" w:rsidRDefault="009C4555" w:rsidP="009C4555">
      <w:pPr>
        <w:spacing w:line="360" w:lineRule="auto"/>
        <w:jc w:val="right"/>
        <w:rPr>
          <w:rFonts w:cs="Times New Roman"/>
          <w:b/>
          <w:bCs/>
        </w:rPr>
      </w:pPr>
      <w:r w:rsidRPr="0005376D">
        <w:rPr>
          <w:rFonts w:cs="Times New Roman"/>
          <w:b/>
          <w:bCs/>
        </w:rPr>
        <w:t>«___»____________________ 2019г.</w:t>
      </w:r>
    </w:p>
    <w:p w:rsidR="009C4555" w:rsidRPr="0005376D" w:rsidRDefault="009C4555" w:rsidP="009C4555">
      <w:pPr>
        <w:rPr>
          <w:rFonts w:cs="Times New Roman"/>
          <w:b/>
          <w:bCs/>
          <w:sz w:val="28"/>
          <w:szCs w:val="28"/>
        </w:rPr>
      </w:pPr>
    </w:p>
    <w:p w:rsidR="009C4555" w:rsidRPr="0005376D" w:rsidRDefault="009C4555" w:rsidP="009C4555">
      <w:pPr>
        <w:rPr>
          <w:rFonts w:cs="Times New Roman"/>
          <w:b/>
          <w:bCs/>
          <w:sz w:val="28"/>
          <w:szCs w:val="28"/>
        </w:rPr>
      </w:pPr>
    </w:p>
    <w:p w:rsidR="009C4555" w:rsidRPr="0005376D" w:rsidRDefault="009C4555" w:rsidP="009C4555">
      <w:pPr>
        <w:tabs>
          <w:tab w:val="left" w:pos="9921"/>
        </w:tabs>
        <w:ind w:right="-2"/>
        <w:jc w:val="center"/>
        <w:rPr>
          <w:rFonts w:cs="Times New Roman"/>
          <w:bCs/>
          <w:sz w:val="28"/>
          <w:szCs w:val="28"/>
        </w:rPr>
      </w:pPr>
      <w:r w:rsidRPr="0005376D">
        <w:rPr>
          <w:rFonts w:cs="Times New Roman"/>
          <w:bCs/>
          <w:sz w:val="28"/>
          <w:szCs w:val="28"/>
        </w:rPr>
        <w:t>ТЕРРИТОРИАЛЬНАЯ СХЕМА</w:t>
      </w:r>
    </w:p>
    <w:p w:rsidR="009C4555" w:rsidRPr="0005376D" w:rsidRDefault="009C4555" w:rsidP="009C4555">
      <w:pPr>
        <w:tabs>
          <w:tab w:val="left" w:pos="9921"/>
        </w:tabs>
        <w:ind w:right="-2"/>
        <w:jc w:val="center"/>
        <w:rPr>
          <w:rFonts w:cs="Times New Roman"/>
          <w:bCs/>
          <w:sz w:val="28"/>
          <w:szCs w:val="28"/>
        </w:rPr>
      </w:pPr>
      <w:r w:rsidRPr="0005376D">
        <w:rPr>
          <w:rFonts w:cs="Times New Roman"/>
          <w:bCs/>
          <w:sz w:val="28"/>
          <w:szCs w:val="28"/>
        </w:rPr>
        <w:t>ОБРАЩЕНИЯ С ТВЕРДЫМИ КОММУНАЛЬНЫМИ ОТХОДАМИ</w:t>
      </w:r>
    </w:p>
    <w:p w:rsidR="009C4555" w:rsidRPr="0005376D" w:rsidRDefault="009C4555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8"/>
          <w:szCs w:val="28"/>
          <w:u w:val="single"/>
        </w:rPr>
      </w:pPr>
    </w:p>
    <w:p w:rsidR="009C4555" w:rsidRDefault="009C4555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8"/>
          <w:szCs w:val="28"/>
          <w:u w:val="single"/>
        </w:rPr>
      </w:pPr>
    </w:p>
    <w:p w:rsidR="004F6F1B" w:rsidRPr="0005376D" w:rsidRDefault="004F6F1B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8"/>
          <w:szCs w:val="28"/>
          <w:u w:val="single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13</w:t>
      </w:r>
    </w:p>
    <w:p w:rsidR="009C4555" w:rsidRPr="0005376D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8"/>
          <w:szCs w:val="28"/>
        </w:rPr>
      </w:pPr>
    </w:p>
    <w:p w:rsidR="009C4555" w:rsidRPr="009C4555" w:rsidRDefault="009C4555" w:rsidP="009C4555">
      <w:pPr>
        <w:ind w:firstLine="0"/>
        <w:jc w:val="center"/>
        <w:rPr>
          <w:b/>
          <w:sz w:val="28"/>
          <w:szCs w:val="28"/>
        </w:rPr>
      </w:pPr>
      <w:r w:rsidRPr="0005376D">
        <w:rPr>
          <w:rFonts w:cs="Times New Roman"/>
          <w:b/>
          <w:bCs/>
          <w:sz w:val="28"/>
          <w:szCs w:val="28"/>
        </w:rPr>
        <w:t>«</w:t>
      </w:r>
      <w:r w:rsidRPr="002708FF">
        <w:rPr>
          <w:b/>
          <w:sz w:val="28"/>
          <w:szCs w:val="28"/>
        </w:rPr>
        <w:t>Сведения о зонах деятельности региональных операторов</w:t>
      </w:r>
      <w:r w:rsidRPr="0005376D">
        <w:rPr>
          <w:rFonts w:cs="Times New Roman"/>
          <w:b/>
          <w:bCs/>
          <w:sz w:val="28"/>
          <w:szCs w:val="28"/>
        </w:rPr>
        <w:t>»</w:t>
      </w: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4F6F1B" w:rsidRDefault="004F6F1B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4F6F1B" w:rsidRDefault="004F6F1B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4F6F1B" w:rsidRPr="0005376D" w:rsidRDefault="004F6F1B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</w:p>
    <w:p w:rsidR="009C4555" w:rsidRPr="0005376D" w:rsidRDefault="009C4555" w:rsidP="009C4555">
      <w:pPr>
        <w:jc w:val="center"/>
        <w:rPr>
          <w:rFonts w:cs="Times New Roman"/>
          <w:b/>
          <w:bCs/>
          <w:sz w:val="28"/>
          <w:szCs w:val="28"/>
          <w:highlight w:val="red"/>
        </w:rPr>
      </w:pPr>
      <w:bookmarkStart w:id="0" w:name="_GoBack"/>
      <w:bookmarkEnd w:id="0"/>
    </w:p>
    <w:p w:rsidR="009C4555" w:rsidRDefault="007721C7" w:rsidP="009C4555">
      <w:pPr>
        <w:jc w:val="center"/>
        <w:rPr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>Чувашская Республика</w:t>
      </w:r>
      <w:r w:rsidR="009E2E7E">
        <w:rPr>
          <w:rFonts w:cs="Times New Roman"/>
          <w:bCs/>
          <w:sz w:val="28"/>
          <w:szCs w:val="28"/>
        </w:rPr>
        <w:t>, 2019</w:t>
      </w:r>
      <w:r w:rsidR="009C4555">
        <w:rPr>
          <w:b/>
          <w:sz w:val="28"/>
          <w:szCs w:val="28"/>
        </w:rPr>
        <w:br w:type="page"/>
      </w:r>
    </w:p>
    <w:p w:rsidR="002708FF" w:rsidRPr="002708FF" w:rsidRDefault="002708FF" w:rsidP="002708FF">
      <w:pPr>
        <w:spacing w:line="360" w:lineRule="auto"/>
        <w:rPr>
          <w:sz w:val="28"/>
          <w:szCs w:val="28"/>
        </w:rPr>
      </w:pPr>
      <w:r w:rsidRPr="002708FF">
        <w:rPr>
          <w:sz w:val="28"/>
          <w:szCs w:val="28"/>
        </w:rPr>
        <w:lastRenderedPageBreak/>
        <w:t xml:space="preserve">Определение количества зон деятельности региональных операторов и разделение территории </w:t>
      </w:r>
      <w:r w:rsidR="00656577">
        <w:rPr>
          <w:sz w:val="28"/>
          <w:szCs w:val="28"/>
        </w:rPr>
        <w:t xml:space="preserve">Чувашской </w:t>
      </w:r>
      <w:r w:rsidRPr="002708FF">
        <w:rPr>
          <w:sz w:val="28"/>
          <w:szCs w:val="28"/>
        </w:rPr>
        <w:t>Республики на эти зоны осуществлялось на основе следующих критериев:</w:t>
      </w:r>
    </w:p>
    <w:p w:rsidR="002708FF" w:rsidRPr="002708FF" w:rsidRDefault="002708FF" w:rsidP="001C30B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08FF">
        <w:rPr>
          <w:sz w:val="28"/>
          <w:szCs w:val="28"/>
        </w:rPr>
        <w:t>совпадение границ зон деятельности региональных операторов с административными границами поселений;</w:t>
      </w:r>
    </w:p>
    <w:p w:rsidR="002708FF" w:rsidRPr="002708FF" w:rsidRDefault="002708FF" w:rsidP="001C30B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08FF">
        <w:rPr>
          <w:sz w:val="28"/>
          <w:szCs w:val="28"/>
        </w:rPr>
        <w:t>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(в зависимости от количества зон деятельности);</w:t>
      </w:r>
    </w:p>
    <w:p w:rsidR="002708FF" w:rsidRPr="002708FF" w:rsidRDefault="002708FF" w:rsidP="001C30B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08FF">
        <w:rPr>
          <w:sz w:val="28"/>
          <w:szCs w:val="28"/>
        </w:rPr>
        <w:t xml:space="preserve">максимальная ответственность регионального оператора за транспортирование твердых коммунальных отходов в пределах его зоны деятельности (минимизация перемещения твердых коммунальных отходов между различными зонами деятельности). </w:t>
      </w:r>
    </w:p>
    <w:p w:rsidR="002708FF" w:rsidRPr="002708FF" w:rsidRDefault="002708FF" w:rsidP="002708FF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2708FF" w:rsidRPr="002708FF" w:rsidRDefault="002708FF" w:rsidP="002708FF">
      <w:pPr>
        <w:pStyle w:val="a4"/>
        <w:spacing w:line="360" w:lineRule="auto"/>
        <w:ind w:left="0" w:firstLine="709"/>
        <w:rPr>
          <w:sz w:val="28"/>
          <w:szCs w:val="28"/>
        </w:rPr>
      </w:pPr>
      <w:r w:rsidRPr="002708FF">
        <w:rPr>
          <w:sz w:val="28"/>
          <w:szCs w:val="28"/>
        </w:rPr>
        <w:t>При расчете финансовой модели были оценочно определены расходы на услугу регионального оператора; расходы на обработку ТКО; расходы на размещение ТКО (в том числе плата за негативное воздействие на окружающую среду) и расходы на транспортировку ТКО. При определении расходов на обработку ТКО был учтен доход от реализации вторичного сырья; срок амортизации по мусоросортировочным и мусороперегрузочным станциям принят 10 лет, по объектам размещения ТКО – 20 лет. Инвестиционные затраты были определены на основании реализуемых проектов, а при их отсутствии на основании анализа проектов-аналогов. Расчет расходов был осуществлен в целях определения зонального деления.</w:t>
      </w:r>
    </w:p>
    <w:p w:rsidR="009C4555" w:rsidRDefault="009C4555">
      <w:pPr>
        <w:spacing w:after="200" w:line="276" w:lineRule="auto"/>
        <w:ind w:firstLine="0"/>
        <w:jc w:val="left"/>
        <w:rPr>
          <w:rFonts w:eastAsia="Times New Roman" w:cs="Times New Roman"/>
          <w:iCs/>
          <w:szCs w:val="20"/>
        </w:rPr>
      </w:pPr>
      <w:r>
        <w:rPr>
          <w:i/>
        </w:rPr>
        <w:br w:type="page"/>
      </w:r>
    </w:p>
    <w:p w:rsidR="002708FF" w:rsidRPr="009C4555" w:rsidRDefault="002708FF" w:rsidP="00DA0FDD">
      <w:pPr>
        <w:pStyle w:val="a6"/>
        <w:jc w:val="right"/>
        <w:rPr>
          <w:i w:val="0"/>
          <w:szCs w:val="24"/>
        </w:rPr>
      </w:pPr>
      <w:r w:rsidRPr="009C4555">
        <w:rPr>
          <w:i w:val="0"/>
          <w:szCs w:val="24"/>
        </w:rPr>
        <w:lastRenderedPageBreak/>
        <w:t>Таблица</w:t>
      </w:r>
      <w:r w:rsidRPr="009C4555">
        <w:rPr>
          <w:i w:val="0"/>
          <w:noProof/>
          <w:szCs w:val="24"/>
        </w:rPr>
        <w:t xml:space="preserve"> 13.1</w:t>
      </w:r>
      <w:r w:rsidRPr="009C4555">
        <w:rPr>
          <w:i w:val="0"/>
          <w:szCs w:val="24"/>
        </w:rPr>
        <w:t xml:space="preserve">. </w:t>
      </w:r>
      <w:r w:rsidR="009C4555" w:rsidRPr="009C4555">
        <w:rPr>
          <w:i w:val="0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5179"/>
      </w:tblGrid>
      <w:tr w:rsidR="002708FF" w:rsidRPr="00F442F1" w:rsidTr="005424AF">
        <w:trPr>
          <w:tblHeader/>
        </w:trPr>
        <w:tc>
          <w:tcPr>
            <w:tcW w:w="7452" w:type="dxa"/>
            <w:shd w:val="clear" w:color="auto" w:fill="auto"/>
            <w:tcMar>
              <w:top w:w="79" w:type="dxa"/>
              <w:left w:w="167" w:type="dxa"/>
              <w:bottom w:w="79" w:type="dxa"/>
              <w:right w:w="167" w:type="dxa"/>
            </w:tcMar>
            <w:hideMark/>
          </w:tcPr>
          <w:p w:rsidR="002708FF" w:rsidRPr="00F442F1" w:rsidRDefault="002708FF" w:rsidP="005424AF">
            <w:pPr>
              <w:pStyle w:val="a3"/>
              <w:jc w:val="center"/>
              <w:rPr>
                <w:szCs w:val="24"/>
              </w:rPr>
            </w:pPr>
            <w:r w:rsidRPr="00F442F1">
              <w:t>Преимущества</w:t>
            </w:r>
          </w:p>
        </w:tc>
        <w:tc>
          <w:tcPr>
            <w:tcW w:w="7452" w:type="dxa"/>
            <w:shd w:val="clear" w:color="auto" w:fill="auto"/>
            <w:tcMar>
              <w:top w:w="79" w:type="dxa"/>
              <w:left w:w="167" w:type="dxa"/>
              <w:bottom w:w="79" w:type="dxa"/>
              <w:right w:w="167" w:type="dxa"/>
            </w:tcMar>
            <w:hideMark/>
          </w:tcPr>
          <w:p w:rsidR="002708FF" w:rsidRPr="00F442F1" w:rsidRDefault="002708FF" w:rsidP="005424AF">
            <w:pPr>
              <w:pStyle w:val="a3"/>
              <w:jc w:val="center"/>
              <w:rPr>
                <w:sz w:val="22"/>
              </w:rPr>
            </w:pPr>
            <w:r w:rsidRPr="00F442F1">
              <w:t>Недостатки</w:t>
            </w:r>
          </w:p>
        </w:tc>
      </w:tr>
      <w:tr w:rsidR="002708FF" w:rsidRPr="00F442F1" w:rsidTr="005424AF">
        <w:trPr>
          <w:trHeight w:val="865"/>
        </w:trPr>
        <w:tc>
          <w:tcPr>
            <w:tcW w:w="7452" w:type="dxa"/>
            <w:shd w:val="clear" w:color="auto" w:fill="auto"/>
            <w:tcMar>
              <w:top w:w="79" w:type="dxa"/>
              <w:left w:w="167" w:type="dxa"/>
              <w:bottom w:w="79" w:type="dxa"/>
              <w:right w:w="167" w:type="dxa"/>
            </w:tcMar>
            <w:hideMark/>
          </w:tcPr>
          <w:p w:rsidR="002708FF" w:rsidRPr="00F442F1" w:rsidRDefault="002708FF" w:rsidP="002708F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</w:pPr>
            <w:r w:rsidRPr="00F442F1">
              <w:t xml:space="preserve">Отсутствует «монополизация» рынка обращения с отходами. </w:t>
            </w:r>
          </w:p>
          <w:p w:rsidR="002708FF" w:rsidRPr="00F442F1" w:rsidRDefault="002708FF" w:rsidP="002708F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</w:pPr>
            <w:r w:rsidRPr="00F442F1">
              <w:t xml:space="preserve">Увеличение количества действующих субъектов на рынке обращения с ТКО (в том числе субъектов малого и среднего предпринимательства). </w:t>
            </w:r>
          </w:p>
          <w:p w:rsidR="002708FF" w:rsidRPr="00F442F1" w:rsidRDefault="002708FF" w:rsidP="002708F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sz w:val="23"/>
                <w:szCs w:val="23"/>
              </w:rPr>
            </w:pPr>
            <w:r w:rsidRPr="00F442F1">
              <w:t>Наличие возможности экстренной замены единого регионального оператора другим региональным оператором в случае отказа от исполнения своих функций или лишения его статуса единого регионального оператора в порядке и по основаниям, установленным законодательством</w:t>
            </w:r>
            <w:r w:rsidRPr="00F442F1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452" w:type="dxa"/>
            <w:shd w:val="clear" w:color="auto" w:fill="auto"/>
            <w:tcMar>
              <w:top w:w="79" w:type="dxa"/>
              <w:left w:w="167" w:type="dxa"/>
              <w:bottom w:w="79" w:type="dxa"/>
              <w:right w:w="167" w:type="dxa"/>
            </w:tcMar>
            <w:hideMark/>
          </w:tcPr>
          <w:p w:rsidR="002708FF" w:rsidRPr="00F442F1" w:rsidRDefault="002708FF" w:rsidP="002708F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</w:pPr>
            <w:r w:rsidRPr="00F442F1">
              <w:t>Значительная дифференциация тарифа для населения разных зон деятельности</w:t>
            </w:r>
          </w:p>
          <w:p w:rsidR="002708FF" w:rsidRPr="00F442F1" w:rsidRDefault="002708FF" w:rsidP="002708F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</w:pPr>
            <w:r w:rsidRPr="00F442F1">
              <w:t xml:space="preserve">Невозможность применения равных условий для региональных операторов и операторов по обращению с ТКО ввиду неравномерности распределения объемов ТКО по территории </w:t>
            </w:r>
            <w:r w:rsidR="00656577">
              <w:t xml:space="preserve">Чувашской </w:t>
            </w:r>
            <w:r w:rsidR="009C48C4">
              <w:t xml:space="preserve">Республики </w:t>
            </w:r>
            <w:r w:rsidRPr="00F442F1">
              <w:t xml:space="preserve"> </w:t>
            </w:r>
          </w:p>
          <w:p w:rsidR="002708FF" w:rsidRPr="00F442F1" w:rsidRDefault="002708FF" w:rsidP="005424AF">
            <w:pPr>
              <w:spacing w:after="0" w:line="240" w:lineRule="auto"/>
              <w:ind w:left="357" w:firstLine="0"/>
              <w:contextualSpacing/>
              <w:jc w:val="left"/>
            </w:pPr>
          </w:p>
        </w:tc>
      </w:tr>
    </w:tbl>
    <w:p w:rsidR="002708FF" w:rsidRDefault="002708FF" w:rsidP="002708FF"/>
    <w:p w:rsidR="002708FF" w:rsidRPr="00150C3E" w:rsidRDefault="002708FF" w:rsidP="00DA0FDD">
      <w:pPr>
        <w:pStyle w:val="a6"/>
        <w:jc w:val="right"/>
        <w:rPr>
          <w:i w:val="0"/>
        </w:rPr>
      </w:pPr>
      <w:r w:rsidRPr="00150C3E">
        <w:rPr>
          <w:i w:val="0"/>
        </w:rPr>
        <w:t xml:space="preserve">Таблица 13.2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708FF" w:rsidRPr="00F442F1" w:rsidTr="005424AF">
        <w:trPr>
          <w:trHeight w:val="107"/>
          <w:jc w:val="center"/>
        </w:trPr>
        <w:tc>
          <w:tcPr>
            <w:tcW w:w="2500" w:type="pct"/>
          </w:tcPr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bCs/>
                <w:color w:val="000000"/>
                <w:sz w:val="23"/>
                <w:szCs w:val="23"/>
              </w:rPr>
              <w:t>Преимущества</w:t>
            </w:r>
          </w:p>
        </w:tc>
        <w:tc>
          <w:tcPr>
            <w:tcW w:w="2500" w:type="pct"/>
          </w:tcPr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bCs/>
                <w:color w:val="000000"/>
                <w:sz w:val="23"/>
                <w:szCs w:val="23"/>
              </w:rPr>
              <w:t>Недостатки</w:t>
            </w:r>
          </w:p>
        </w:tc>
      </w:tr>
      <w:tr w:rsidR="002708FF" w:rsidRPr="00F442F1" w:rsidTr="005424AF">
        <w:trPr>
          <w:trHeight w:val="1924"/>
          <w:jc w:val="center"/>
        </w:trPr>
        <w:tc>
          <w:tcPr>
            <w:tcW w:w="2500" w:type="pct"/>
          </w:tcPr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Наличие только одного регионального оператора, ответственного за реализацию всей схемы обращения с ТКО. </w:t>
            </w:r>
          </w:p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Значительное повышение эффективности эксплуатации объектов коммунальной инфраструктуры обращения с ТКО. </w:t>
            </w:r>
          </w:p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Отсутствие дифференциации тарифа, единый тариф для населения во всех муниципальных районах/городских округах. </w:t>
            </w:r>
          </w:p>
        </w:tc>
        <w:tc>
          <w:tcPr>
            <w:tcW w:w="2500" w:type="pct"/>
          </w:tcPr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«Монополизация» рынка обращения с отходами. </w:t>
            </w:r>
          </w:p>
          <w:p w:rsidR="002708FF" w:rsidRPr="00F442F1" w:rsidRDefault="002708FF" w:rsidP="005424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Сокращение количества действующих субъектов на рынке обращения с ТКО (в том числе субъектов малого и среднего предпринимательства). </w:t>
            </w:r>
          </w:p>
          <w:p w:rsidR="002708FF" w:rsidRPr="00F442F1" w:rsidRDefault="002708FF" w:rsidP="00150C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442F1">
              <w:rPr>
                <w:rFonts w:cs="Times New Roman"/>
                <w:color w:val="000000"/>
                <w:sz w:val="23"/>
                <w:szCs w:val="23"/>
              </w:rPr>
              <w:t xml:space="preserve">− Отсутствие возможности экстренной замены единого регионального оператора другим региональным оператором в случае отказа от исполнения своих функций или лишения </w:t>
            </w:r>
            <w:r w:rsidRPr="00F442F1">
              <w:rPr>
                <w:sz w:val="23"/>
                <w:szCs w:val="23"/>
              </w:rPr>
              <w:t>его статуса единого регионального оператора в порядке и по основаниям, у</w:t>
            </w:r>
            <w:r w:rsidR="00150C3E">
              <w:rPr>
                <w:sz w:val="23"/>
                <w:szCs w:val="23"/>
              </w:rPr>
              <w:t>становленным законодательством.</w:t>
            </w:r>
          </w:p>
        </w:tc>
      </w:tr>
    </w:tbl>
    <w:p w:rsidR="002708FF" w:rsidRPr="00F442F1" w:rsidRDefault="002708FF" w:rsidP="002708FF"/>
    <w:p w:rsidR="004F07EF" w:rsidRDefault="002708FF" w:rsidP="002708FF">
      <w:pPr>
        <w:spacing w:line="360" w:lineRule="auto"/>
        <w:ind w:firstLine="709"/>
      </w:pPr>
      <w:r w:rsidRPr="002708FF">
        <w:rPr>
          <w:sz w:val="28"/>
          <w:szCs w:val="28"/>
        </w:rPr>
        <w:t xml:space="preserve">Исходя из вышеперечисленного, ввиду неравномерности распределения </w:t>
      </w:r>
      <w:r w:rsidR="00DA0FDD">
        <w:rPr>
          <w:sz w:val="28"/>
          <w:szCs w:val="28"/>
        </w:rPr>
        <w:t>объема</w:t>
      </w:r>
      <w:r w:rsidRPr="002708FF">
        <w:rPr>
          <w:sz w:val="28"/>
          <w:szCs w:val="28"/>
        </w:rPr>
        <w:t xml:space="preserve"> отходов на территории республики и в целях снижения уровня дифференциации тарифов для населения, целесообразно сохранение единой зоны регионального оператора, осуществляющего деятельность на всей территории </w:t>
      </w:r>
      <w:r w:rsidR="00656577">
        <w:rPr>
          <w:sz w:val="28"/>
          <w:szCs w:val="28"/>
        </w:rPr>
        <w:t xml:space="preserve">Чувашской </w:t>
      </w:r>
      <w:r w:rsidRPr="002708FF">
        <w:rPr>
          <w:sz w:val="28"/>
          <w:szCs w:val="28"/>
        </w:rPr>
        <w:t>Республики.</w:t>
      </w:r>
    </w:p>
    <w:sectPr w:rsidR="004F07EF" w:rsidSect="00744BA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C6" w:rsidRDefault="007338C6" w:rsidP="00A919B2">
      <w:pPr>
        <w:spacing w:after="0" w:line="240" w:lineRule="auto"/>
      </w:pPr>
      <w:r>
        <w:separator/>
      </w:r>
    </w:p>
  </w:endnote>
  <w:endnote w:type="continuationSeparator" w:id="0">
    <w:p w:rsidR="007338C6" w:rsidRDefault="007338C6" w:rsidP="00A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486419"/>
      <w:docPartObj>
        <w:docPartGallery w:val="Page Numbers (Bottom of Page)"/>
        <w:docPartUnique/>
      </w:docPartObj>
    </w:sdtPr>
    <w:sdtEndPr/>
    <w:sdtContent>
      <w:p w:rsidR="00A919B2" w:rsidRDefault="00E85335">
        <w:pPr>
          <w:pStyle w:val="aa"/>
          <w:jc w:val="center"/>
        </w:pPr>
        <w:r>
          <w:fldChar w:fldCharType="begin"/>
        </w:r>
        <w:r w:rsidR="00A919B2">
          <w:instrText>PAGE   \* MERGEFORMAT</w:instrText>
        </w:r>
        <w:r>
          <w:fldChar w:fldCharType="separate"/>
        </w:r>
        <w:r w:rsidR="007721C7">
          <w:rPr>
            <w:noProof/>
          </w:rPr>
          <w:t>3</w:t>
        </w:r>
        <w:r>
          <w:fldChar w:fldCharType="end"/>
        </w:r>
      </w:p>
    </w:sdtContent>
  </w:sdt>
  <w:p w:rsidR="00A919B2" w:rsidRDefault="00A919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C6" w:rsidRDefault="007338C6" w:rsidP="00A919B2">
      <w:pPr>
        <w:spacing w:after="0" w:line="240" w:lineRule="auto"/>
      </w:pPr>
      <w:r>
        <w:separator/>
      </w:r>
    </w:p>
  </w:footnote>
  <w:footnote w:type="continuationSeparator" w:id="0">
    <w:p w:rsidR="007338C6" w:rsidRDefault="007338C6" w:rsidP="00A9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E7"/>
    <w:multiLevelType w:val="hybridMultilevel"/>
    <w:tmpl w:val="29924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9C7"/>
    <w:multiLevelType w:val="hybridMultilevel"/>
    <w:tmpl w:val="C13472E2"/>
    <w:lvl w:ilvl="0" w:tplc="596A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0B5880"/>
    <w:multiLevelType w:val="hybridMultilevel"/>
    <w:tmpl w:val="EC5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8FF"/>
    <w:rsid w:val="00022F23"/>
    <w:rsid w:val="00150C3E"/>
    <w:rsid w:val="001C30B3"/>
    <w:rsid w:val="00206C09"/>
    <w:rsid w:val="002708FF"/>
    <w:rsid w:val="004777F2"/>
    <w:rsid w:val="004F07EF"/>
    <w:rsid w:val="004F6F1B"/>
    <w:rsid w:val="0051623A"/>
    <w:rsid w:val="005E51E3"/>
    <w:rsid w:val="00627530"/>
    <w:rsid w:val="00656577"/>
    <w:rsid w:val="007338C6"/>
    <w:rsid w:val="00744BA2"/>
    <w:rsid w:val="007721C7"/>
    <w:rsid w:val="009125BD"/>
    <w:rsid w:val="009C4555"/>
    <w:rsid w:val="009C48C4"/>
    <w:rsid w:val="009E2E7E"/>
    <w:rsid w:val="00A919B2"/>
    <w:rsid w:val="00C53CBA"/>
    <w:rsid w:val="00D5400B"/>
    <w:rsid w:val="00DA0FDD"/>
    <w:rsid w:val="00E15BE3"/>
    <w:rsid w:val="00E85335"/>
    <w:rsid w:val="00F53258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D908-1070-4921-8644-F8BC6AE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FF"/>
    <w:pPr>
      <w:spacing w:after="160" w:line="259" w:lineRule="auto"/>
      <w:ind w:firstLine="70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F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2708FF"/>
    <w:pPr>
      <w:ind w:left="720"/>
      <w:contextualSpacing/>
    </w:pPr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150C3E"/>
    <w:pPr>
      <w:spacing w:after="200" w:line="240" w:lineRule="auto"/>
      <w:ind w:firstLine="0"/>
    </w:pPr>
    <w:rPr>
      <w:rFonts w:eastAsia="Times New Roman" w:cs="Times New Roman"/>
      <w:i/>
      <w:iCs/>
      <w:szCs w:val="20"/>
    </w:r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2708FF"/>
    <w:rPr>
      <w:rFonts w:ascii="Times New Roman" w:hAnsi="Times New Roman"/>
      <w:sz w:val="24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150C3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9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9B2"/>
    <w:rPr>
      <w:rFonts w:ascii="Times New Roman" w:hAnsi="Times New Roman"/>
      <w:sz w:val="24"/>
    </w:rPr>
  </w:style>
  <w:style w:type="character" w:styleId="ac">
    <w:name w:val="Emphasis"/>
    <w:basedOn w:val="a0"/>
    <w:uiPriority w:val="20"/>
    <w:qFormat/>
    <w:rsid w:val="009E2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3</cp:revision>
  <cp:lastPrinted>2019-09-09T08:02:00Z</cp:lastPrinted>
  <dcterms:created xsi:type="dcterms:W3CDTF">2019-10-06T23:29:00Z</dcterms:created>
  <dcterms:modified xsi:type="dcterms:W3CDTF">2019-10-07T09:54:00Z</dcterms:modified>
</cp:coreProperties>
</file>