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85" w:rsidRDefault="000F0185" w:rsidP="000F0185">
      <w:pPr>
        <w:pStyle w:val="2"/>
        <w:spacing w:after="0" w:line="240" w:lineRule="auto"/>
        <w:ind w:left="709"/>
        <w:jc w:val="right"/>
        <w:rPr>
          <w:rFonts w:ascii="Arial" w:hAnsi="Arial" w:cs="Arial"/>
          <w:i/>
        </w:rPr>
      </w:pPr>
      <w:r w:rsidRPr="000F0185">
        <w:rPr>
          <w:rFonts w:ascii="Arial" w:hAnsi="Arial" w:cs="Arial"/>
          <w:i/>
        </w:rPr>
        <w:t>По 2 вопросу</w:t>
      </w:r>
    </w:p>
    <w:p w:rsidR="000F0185" w:rsidRPr="000F0185" w:rsidRDefault="000F0185" w:rsidP="000F0185">
      <w:pPr>
        <w:pStyle w:val="2"/>
        <w:spacing w:after="0" w:line="240" w:lineRule="auto"/>
        <w:ind w:left="709"/>
        <w:jc w:val="right"/>
        <w:rPr>
          <w:rFonts w:ascii="Arial" w:hAnsi="Arial" w:cs="Arial"/>
          <w:i/>
        </w:rPr>
      </w:pPr>
    </w:p>
    <w:p w:rsidR="00FF1F62" w:rsidRDefault="00FF1F62" w:rsidP="00FF1F62">
      <w:pPr>
        <w:pStyle w:val="2"/>
        <w:spacing w:after="0" w:line="240" w:lineRule="auto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Итоги контрольно-надзорной деятельности за 2018 год. </w:t>
      </w:r>
    </w:p>
    <w:p w:rsidR="00350B14" w:rsidRDefault="00FF1F62" w:rsidP="00FF1F62">
      <w:pPr>
        <w:pStyle w:val="2"/>
        <w:spacing w:after="0" w:line="240" w:lineRule="auto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Перспективы </w:t>
      </w:r>
      <w:r w:rsidRPr="0035656D">
        <w:rPr>
          <w:rFonts w:ascii="Arial" w:hAnsi="Arial" w:cs="Arial"/>
          <w:b/>
        </w:rPr>
        <w:t xml:space="preserve">интеграции контрольно-надзорной деятельности </w:t>
      </w:r>
    </w:p>
    <w:p w:rsidR="00FF1F62" w:rsidRPr="0035656D" w:rsidRDefault="00FF1F62" w:rsidP="00FF1F62">
      <w:pPr>
        <w:pStyle w:val="2"/>
        <w:spacing w:after="0" w:line="240" w:lineRule="auto"/>
        <w:ind w:left="709"/>
        <w:jc w:val="center"/>
        <w:rPr>
          <w:rFonts w:ascii="Arial" w:hAnsi="Arial" w:cs="Arial"/>
          <w:b/>
        </w:rPr>
      </w:pPr>
      <w:r w:rsidRPr="0035656D">
        <w:rPr>
          <w:rFonts w:ascii="Arial" w:hAnsi="Arial" w:cs="Arial"/>
          <w:b/>
        </w:rPr>
        <w:t>и единой системы оценки качества образования</w:t>
      </w:r>
    </w:p>
    <w:p w:rsidR="00FF1F62" w:rsidRDefault="00FF1F62" w:rsidP="00350B14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  <w:u w:val="single"/>
        </w:rPr>
      </w:pPr>
    </w:p>
    <w:p w:rsidR="00350B14" w:rsidRPr="002619A2" w:rsidRDefault="00350B14" w:rsidP="00350B14">
      <w:pPr>
        <w:pStyle w:val="2"/>
        <w:spacing w:after="0" w:line="240" w:lineRule="auto"/>
        <w:ind w:left="4678"/>
        <w:jc w:val="both"/>
        <w:rPr>
          <w:rFonts w:ascii="Arial" w:hAnsi="Arial" w:cs="Arial"/>
        </w:rPr>
      </w:pPr>
      <w:r w:rsidRPr="002619A2">
        <w:rPr>
          <w:rFonts w:ascii="Arial" w:hAnsi="Arial" w:cs="Arial"/>
          <w:i/>
        </w:rPr>
        <w:t xml:space="preserve">Скирневская Марина Анатольевна </w:t>
      </w:r>
      <w:r>
        <w:rPr>
          <w:rFonts w:ascii="Arial" w:hAnsi="Arial" w:cs="Arial"/>
          <w:b/>
        </w:rPr>
        <w:t xml:space="preserve">– </w:t>
      </w:r>
      <w:r w:rsidRPr="002619A2">
        <w:rPr>
          <w:rFonts w:ascii="Arial" w:hAnsi="Arial" w:cs="Arial"/>
        </w:rPr>
        <w:t>начальник управления по контролю и надзору в сфере образования Минобразования Чувашии</w:t>
      </w:r>
    </w:p>
    <w:p w:rsidR="00350B14" w:rsidRDefault="00350B14" w:rsidP="00350B14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  <w:u w:val="single"/>
        </w:rPr>
      </w:pPr>
    </w:p>
    <w:p w:rsidR="00586DAF" w:rsidRPr="00C8262D" w:rsidRDefault="00586DAF" w:rsidP="00586DA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C8262D">
        <w:rPr>
          <w:rFonts w:ascii="Times New Roman" w:hAnsi="Times New Roman"/>
          <w:b/>
          <w:sz w:val="24"/>
          <w:szCs w:val="24"/>
          <w:u w:val="single"/>
        </w:rPr>
        <w:t>1.Итоги деятельности управления по надзору и контролю в сфере образования за 10 лет.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39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оличество оказанных государственных услуг по лицензированию образовательной деятельности  - 3 883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оказанных услуг по государственной аккредитации образовательной деятельности – 1 977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государственных услуг по подтверждению документов об образовании и (или) квалификации, ученых степенях, ученых званиях – 551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и внеплановых проверок – 3 839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аккредитованных экспертов, привлекаемых к государственной аккредитации – 56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аттестованных экспертов, привлекаемых к проведению проверок – 150</w:t>
      </w:r>
    </w:p>
    <w:p w:rsidR="00586DAF" w:rsidRPr="001E39C4" w:rsidRDefault="00586DAF" w:rsidP="00586D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6DAF" w:rsidRPr="00C8262D" w:rsidRDefault="00586DAF" w:rsidP="00586DA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262D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Итоги контрольно-надзорной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деятельности за  </w:t>
      </w:r>
      <w:r w:rsidRPr="00C826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2018 год</w:t>
      </w:r>
    </w:p>
    <w:p w:rsidR="00586DAF" w:rsidRPr="00C54B5D" w:rsidRDefault="00586DAF" w:rsidP="00586DA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54B5D">
        <w:rPr>
          <w:rFonts w:ascii="Times New Roman" w:hAnsi="Times New Roman" w:cs="Times New Roman"/>
          <w:sz w:val="24"/>
          <w:szCs w:val="24"/>
        </w:rPr>
        <w:t>пециалистами управления по надзору и контролю в сфере образования в 2018 году проведено 237 ко</w:t>
      </w:r>
      <w:r>
        <w:rPr>
          <w:rFonts w:ascii="Times New Roman" w:hAnsi="Times New Roman" w:cs="Times New Roman"/>
          <w:sz w:val="24"/>
          <w:szCs w:val="24"/>
        </w:rPr>
        <w:t xml:space="preserve">нтрольно-надзорных мероприятий </w:t>
      </w:r>
      <w:r w:rsidRPr="00C54B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/>
          <w:sz w:val="24"/>
          <w:szCs w:val="24"/>
        </w:rPr>
        <w:t xml:space="preserve">плановых и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54B5D">
        <w:rPr>
          <w:rFonts w:ascii="Times New Roman" w:hAnsi="Times New Roman" w:cs="Times New Roman"/>
          <w:sz w:val="24"/>
          <w:szCs w:val="24"/>
        </w:rPr>
        <w:t>внеплановых).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проверок: федеральный государственный надзор в сфере образования, федеральный государственный контроль качества образования, лицензионный контроль.</w:t>
      </w:r>
    </w:p>
    <w:p w:rsidR="00586DAF" w:rsidRPr="00C54B5D" w:rsidRDefault="00586DAF" w:rsidP="00586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B5D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мероприятий применялись </w:t>
      </w:r>
      <w:r w:rsidRPr="00C54B5D">
        <w:rPr>
          <w:rFonts w:ascii="Times New Roman" w:hAnsi="Times New Roman" w:cs="Times New Roman"/>
          <w:sz w:val="24"/>
          <w:szCs w:val="24"/>
        </w:rPr>
        <w:t>положения Федерального закона от 26.12.2008 № 294-ФЗ</w:t>
      </w:r>
      <w:r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</w:t>
      </w:r>
      <w:r w:rsidRPr="00C54B5D">
        <w:rPr>
          <w:rFonts w:ascii="Times New Roman" w:hAnsi="Times New Roman" w:cs="Times New Roman"/>
          <w:sz w:val="24"/>
          <w:szCs w:val="24"/>
        </w:rPr>
        <w:t>. Учитывались также особенности, установленные другими федеральными законами: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Pr="00C54B5D">
        <w:rPr>
          <w:rFonts w:ascii="Times New Roman" w:hAnsi="Times New Roman" w:cs="Times New Roman"/>
          <w:sz w:val="24"/>
          <w:szCs w:val="24"/>
        </w:rPr>
        <w:t xml:space="preserve">аконом </w:t>
      </w:r>
      <w:r>
        <w:rPr>
          <w:rFonts w:ascii="Times New Roman" w:hAnsi="Times New Roman" w:cs="Times New Roman"/>
          <w:sz w:val="24"/>
          <w:szCs w:val="24"/>
        </w:rPr>
        <w:t>от 29.12.2012 № 273-ФЗ «О</w:t>
      </w:r>
      <w:r w:rsidRPr="00C54B5D">
        <w:rPr>
          <w:rFonts w:ascii="Times New Roman" w:hAnsi="Times New Roman" w:cs="Times New Roman"/>
          <w:sz w:val="24"/>
          <w:szCs w:val="24"/>
        </w:rPr>
        <w:t xml:space="preserve">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 (далее – Федеральный закон № 273-ФЗ) </w:t>
      </w:r>
      <w:r w:rsidRPr="00C54B5D">
        <w:rPr>
          <w:rFonts w:ascii="Times New Roman" w:hAnsi="Times New Roman" w:cs="Times New Roman"/>
          <w:sz w:val="24"/>
          <w:szCs w:val="24"/>
        </w:rPr>
        <w:t>– при осуществлении государственного контроля (надзора) в сфере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</w:t>
      </w:r>
      <w:r w:rsidRPr="00C54B5D">
        <w:rPr>
          <w:rFonts w:ascii="Times New Roman" w:hAnsi="Times New Roman" w:cs="Times New Roman"/>
          <w:sz w:val="24"/>
          <w:szCs w:val="24"/>
        </w:rPr>
        <w:t xml:space="preserve">коном </w:t>
      </w:r>
      <w:r>
        <w:rPr>
          <w:rFonts w:ascii="Times New Roman" w:hAnsi="Times New Roman" w:cs="Times New Roman"/>
          <w:sz w:val="24"/>
          <w:szCs w:val="24"/>
        </w:rPr>
        <w:t>от 4.05.2011 № 99-ФЗ «О</w:t>
      </w:r>
      <w:r w:rsidRPr="00C54B5D">
        <w:rPr>
          <w:rFonts w:ascii="Times New Roman" w:hAnsi="Times New Roman" w:cs="Times New Roman"/>
          <w:sz w:val="24"/>
          <w:szCs w:val="24"/>
        </w:rPr>
        <w:t xml:space="preserve"> лицензировании </w:t>
      </w:r>
      <w:r>
        <w:rPr>
          <w:rFonts w:ascii="Times New Roman" w:hAnsi="Times New Roman" w:cs="Times New Roman"/>
          <w:sz w:val="24"/>
          <w:szCs w:val="24"/>
        </w:rPr>
        <w:t xml:space="preserve">отдельных видов деятельности» (далее – Федеральный закон № 99-ФЗ) </w:t>
      </w:r>
      <w:r w:rsidRPr="00C54B5D">
        <w:rPr>
          <w:rFonts w:ascii="Times New Roman" w:hAnsi="Times New Roman" w:cs="Times New Roman"/>
          <w:sz w:val="24"/>
          <w:szCs w:val="24"/>
        </w:rPr>
        <w:t xml:space="preserve">– при лицензионном </w:t>
      </w:r>
      <w:proofErr w:type="gramStart"/>
      <w:r w:rsidRPr="00C54B5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54B5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деятельностью.</w:t>
      </w:r>
    </w:p>
    <w:p w:rsidR="00586DAF" w:rsidRDefault="00586DAF" w:rsidP="00586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C54B5D">
        <w:rPr>
          <w:rFonts w:ascii="Times New Roman" w:eastAsia="Gulim" w:hAnsi="Times New Roman" w:cs="Times New Roman"/>
          <w:sz w:val="24"/>
          <w:szCs w:val="24"/>
        </w:rPr>
        <w:t xml:space="preserve">При формировании плана плановых проверок на 2018 год учитывались Методические рекомендации </w:t>
      </w:r>
      <w:proofErr w:type="spellStart"/>
      <w:r>
        <w:rPr>
          <w:rFonts w:ascii="Times New Roman" w:eastAsia="Gulim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eastAsia="Gulim" w:hAnsi="Times New Roman" w:cs="Times New Roman"/>
          <w:sz w:val="24"/>
          <w:szCs w:val="24"/>
        </w:rPr>
        <w:t xml:space="preserve"> </w:t>
      </w:r>
      <w:r w:rsidRPr="00C54B5D">
        <w:rPr>
          <w:rFonts w:ascii="Times New Roman" w:eastAsia="Gulim" w:hAnsi="Times New Roman" w:cs="Times New Roman"/>
          <w:sz w:val="24"/>
          <w:szCs w:val="24"/>
        </w:rPr>
        <w:t xml:space="preserve">по отбору образовательных организаций для включения в ежегодный план проведения плановых проверок. </w:t>
      </w:r>
      <w:proofErr w:type="gramStart"/>
      <w:r w:rsidRPr="00C54B5D">
        <w:rPr>
          <w:rFonts w:ascii="Times New Roman" w:eastAsia="Gulim" w:hAnsi="Times New Roman" w:cs="Times New Roman"/>
          <w:sz w:val="24"/>
          <w:szCs w:val="24"/>
        </w:rPr>
        <w:t>Так, в целях эффективности контрольных мероприятий при планировании проверок анализировались результаты ранее проведенных проверок, информа</w:t>
      </w:r>
      <w:r>
        <w:rPr>
          <w:rFonts w:ascii="Times New Roman" w:eastAsia="Gulim" w:hAnsi="Times New Roman" w:cs="Times New Roman"/>
          <w:sz w:val="24"/>
          <w:szCs w:val="24"/>
        </w:rPr>
        <w:t xml:space="preserve">ция и документы, размещенные на </w:t>
      </w:r>
      <w:r w:rsidRPr="00C54B5D">
        <w:rPr>
          <w:rFonts w:ascii="Times New Roman" w:eastAsia="Gulim" w:hAnsi="Times New Roman" w:cs="Times New Roman"/>
          <w:sz w:val="24"/>
          <w:szCs w:val="24"/>
        </w:rPr>
        <w:t>сайте образовательной организации в информационно-коммуникационной сети «Интернет»</w:t>
      </w:r>
      <w:r>
        <w:rPr>
          <w:rFonts w:ascii="Times New Roman" w:eastAsia="Gulim" w:hAnsi="Times New Roman" w:cs="Times New Roman"/>
          <w:sz w:val="24"/>
          <w:szCs w:val="24"/>
        </w:rPr>
        <w:t xml:space="preserve">, результаты государственной итоговой аттестации, всероссийских проверочных работ, национальных и международных исследований и другие доступные материалы и сведения Полученная информация </w:t>
      </w:r>
      <w:r w:rsidRPr="00C54B5D">
        <w:rPr>
          <w:rFonts w:ascii="Times New Roman" w:eastAsia="Gulim" w:hAnsi="Times New Roman" w:cs="Times New Roman"/>
          <w:sz w:val="24"/>
          <w:szCs w:val="24"/>
        </w:rPr>
        <w:t>использ</w:t>
      </w:r>
      <w:r>
        <w:rPr>
          <w:rFonts w:ascii="Times New Roman" w:eastAsia="Gulim" w:hAnsi="Times New Roman" w:cs="Times New Roman"/>
          <w:sz w:val="24"/>
          <w:szCs w:val="24"/>
        </w:rPr>
        <w:t>овалась при принятии решения о необходимости включении</w:t>
      </w:r>
      <w:r w:rsidRPr="00C54B5D">
        <w:rPr>
          <w:rFonts w:ascii="Times New Roman" w:eastAsia="Gulim" w:hAnsi="Times New Roman" w:cs="Times New Roman"/>
          <w:sz w:val="24"/>
          <w:szCs w:val="24"/>
        </w:rPr>
        <w:t xml:space="preserve"> юридического лица, индивидуального предприни</w:t>
      </w:r>
      <w:r>
        <w:rPr>
          <w:rFonts w:ascii="Times New Roman" w:eastAsia="Gulim" w:hAnsi="Times New Roman" w:cs="Times New Roman"/>
          <w:sz w:val="24"/>
          <w:szCs w:val="24"/>
        </w:rPr>
        <w:t>мателя в план плановых проверок</w:t>
      </w:r>
      <w:proofErr w:type="gramEnd"/>
      <w:r>
        <w:rPr>
          <w:rFonts w:ascii="Times New Roman" w:eastAsia="Gulim" w:hAnsi="Times New Roman" w:cs="Times New Roman"/>
          <w:sz w:val="24"/>
          <w:szCs w:val="24"/>
        </w:rPr>
        <w:t>.</w:t>
      </w:r>
    </w:p>
    <w:p w:rsidR="00586DAF" w:rsidRPr="00C54B5D" w:rsidRDefault="00586DAF" w:rsidP="00586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 xml:space="preserve">Критерии выбора образовательных организаций при формировании ежегодного плана проведения плановых проверок юридических лиц и индивидуальных </w:t>
      </w:r>
      <w:r>
        <w:rPr>
          <w:rFonts w:ascii="Times New Roman" w:eastAsia="Gulim" w:hAnsi="Times New Roman" w:cs="Times New Roman"/>
          <w:sz w:val="24"/>
          <w:szCs w:val="24"/>
        </w:rPr>
        <w:lastRenderedPageBreak/>
        <w:t xml:space="preserve">предпринимателей размещены на </w:t>
      </w:r>
      <w:r>
        <w:rPr>
          <w:rFonts w:ascii="Times New Roman" w:hAnsi="Times New Roman"/>
          <w:sz w:val="24"/>
          <w:szCs w:val="24"/>
        </w:rPr>
        <w:t>официальном сайте министерства на Портале органов власти Чувашской Республики в информационно-телекоммуникационной сети «Интернет»</w:t>
      </w:r>
      <w:hyperlink r:id="rId7" w:history="1">
        <w:r w:rsidRPr="00F14004">
          <w:rPr>
            <w:rStyle w:val="a4"/>
            <w:rFonts w:ascii="Times New Roman" w:hAnsi="Times New Roman"/>
            <w:i/>
            <w:iCs/>
            <w:sz w:val="24"/>
            <w:szCs w:val="24"/>
          </w:rPr>
          <w:t>http://obrazov.cap.ru/action/activity/nadzor-i-kontrolj-v-sfere-obrazovaniya/gosudarstvennaya-akkreditaciya-obrazovateljnoj-dey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86DAF" w:rsidRPr="00C54B5D" w:rsidRDefault="00586DAF" w:rsidP="00586D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54B5D">
        <w:rPr>
          <w:rFonts w:ascii="Times New Roman" w:hAnsi="Times New Roman" w:cs="Times New Roman"/>
          <w:sz w:val="24"/>
          <w:szCs w:val="24"/>
        </w:rPr>
        <w:t xml:space="preserve">Согласно статье 17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№ 294-ФЗ </w:t>
      </w:r>
      <w:r w:rsidRPr="00C54B5D">
        <w:rPr>
          <w:rFonts w:ascii="Times New Roman" w:hAnsi="Times New Roman" w:cs="Times New Roman"/>
          <w:bCs/>
          <w:sz w:val="24"/>
          <w:szCs w:val="24"/>
        </w:rPr>
        <w:t>должностным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54B5D">
        <w:rPr>
          <w:rFonts w:ascii="Times New Roman" w:hAnsi="Times New Roman" w:cs="Times New Roman"/>
          <w:bCs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bCs/>
          <w:sz w:val="24"/>
          <w:szCs w:val="24"/>
        </w:rPr>
        <w:t xml:space="preserve">и министерства </w:t>
      </w:r>
      <w:r w:rsidRPr="00C54B5D">
        <w:rPr>
          <w:rFonts w:ascii="Times New Roman" w:hAnsi="Times New Roman" w:cs="Times New Roman"/>
          <w:bCs/>
          <w:sz w:val="24"/>
          <w:szCs w:val="24"/>
        </w:rPr>
        <w:t xml:space="preserve">в отношении фактов нарушений, выявленных при проведении проверки,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принимались </w:t>
      </w:r>
      <w:r w:rsidRPr="00C54B5D">
        <w:rPr>
          <w:rFonts w:ascii="Times New Roman" w:hAnsi="Times New Roman" w:cs="Times New Roman"/>
          <w:bCs/>
          <w:sz w:val="24"/>
          <w:szCs w:val="24"/>
        </w:rPr>
        <w:t>следующие меры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пресечения</w:t>
      </w:r>
      <w:r w:rsidRPr="00C54B5D">
        <w:rPr>
          <w:rFonts w:ascii="Times New Roman" w:hAnsi="Times New Roman" w:cs="Times New Roman"/>
          <w:bCs/>
          <w:sz w:val="24"/>
          <w:szCs w:val="24"/>
        </w:rPr>
        <w:t>:</w:t>
      </w:r>
    </w:p>
    <w:p w:rsidR="00586DAF" w:rsidRPr="00C54B5D" w:rsidRDefault="00586DAF" w:rsidP="00586DA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54B5D">
        <w:rPr>
          <w:rFonts w:ascii="Times New Roman" w:hAnsi="Times New Roman" w:cs="Times New Roman"/>
          <w:sz w:val="24"/>
          <w:szCs w:val="24"/>
          <w:lang w:eastAsia="ru-RU"/>
        </w:rPr>
        <w:t xml:space="preserve">ыдано </w:t>
      </w:r>
      <w:r>
        <w:rPr>
          <w:rFonts w:ascii="Times New Roman" w:hAnsi="Times New Roman" w:cs="Times New Roman"/>
          <w:sz w:val="24"/>
          <w:szCs w:val="24"/>
          <w:lang w:eastAsia="ru-RU"/>
        </w:rPr>
        <w:t>80 предписаний</w:t>
      </w:r>
      <w:r w:rsidRPr="00C54B5D">
        <w:rPr>
          <w:rFonts w:ascii="Times New Roman" w:hAnsi="Times New Roman" w:cs="Times New Roman"/>
          <w:sz w:val="24"/>
          <w:szCs w:val="24"/>
          <w:lang w:eastAsia="ru-RU"/>
        </w:rPr>
        <w:t xml:space="preserve"> об устранении выявленных нарушений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указанием сроков их устранения;</w:t>
      </w:r>
    </w:p>
    <w:p w:rsidR="00586DAF" w:rsidRPr="00C54B5D" w:rsidRDefault="00586DAF" w:rsidP="00586DA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54B5D">
        <w:rPr>
          <w:rFonts w:ascii="Times New Roman" w:hAnsi="Times New Roman" w:cs="Times New Roman"/>
          <w:sz w:val="24"/>
          <w:szCs w:val="24"/>
          <w:lang w:eastAsia="ru-RU"/>
        </w:rPr>
        <w:t>озбуждено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36</w:t>
      </w:r>
      <w:r w:rsidRPr="00C54B5D">
        <w:rPr>
          <w:rFonts w:ascii="Times New Roman" w:hAnsi="Times New Roman" w:cs="Times New Roman"/>
          <w:sz w:val="24"/>
          <w:szCs w:val="24"/>
          <w:lang w:eastAsia="ru-RU"/>
        </w:rPr>
        <w:t xml:space="preserve"> дел об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административном правонарушении;</w:t>
      </w:r>
    </w:p>
    <w:p w:rsidR="00586DAF" w:rsidRDefault="00586DAF" w:rsidP="00586D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C54B5D">
        <w:rPr>
          <w:rFonts w:ascii="Times New Roman" w:hAnsi="Times New Roman" w:cs="Times New Roman"/>
          <w:sz w:val="24"/>
          <w:szCs w:val="24"/>
          <w:lang w:eastAsia="ru-RU"/>
        </w:rPr>
        <w:t xml:space="preserve">риостановлена государственная аккредитация </w:t>
      </w:r>
      <w:r w:rsidRPr="0099174A">
        <w:rPr>
          <w:rFonts w:ascii="Times New Roman" w:hAnsi="Times New Roman" w:cs="Times New Roman"/>
          <w:sz w:val="24"/>
          <w:szCs w:val="24"/>
          <w:lang w:eastAsia="ru-RU"/>
        </w:rPr>
        <w:t>в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:rsidR="00586DAF" w:rsidRPr="00C54B5D" w:rsidRDefault="00586DAF" w:rsidP="00586D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лишена государственной аккредитации 1 организация;</w:t>
      </w:r>
    </w:p>
    <w:p w:rsidR="00586DAF" w:rsidRDefault="00586DAF" w:rsidP="00586D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C54B5D">
        <w:rPr>
          <w:rFonts w:ascii="Times New Roman" w:hAnsi="Times New Roman" w:cs="Times New Roman"/>
          <w:sz w:val="24"/>
          <w:szCs w:val="24"/>
          <w:lang w:eastAsia="ru-RU"/>
        </w:rPr>
        <w:t>рио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становлено действие лицензии в 3 организациях;</w:t>
      </w:r>
    </w:p>
    <w:p w:rsidR="00586DAF" w:rsidRDefault="00586DAF" w:rsidP="00586D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запрещен прием в 1 образовательной организации;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выдано 1 предостережение о недопустимости нарушения обязательных требований.</w:t>
      </w:r>
    </w:p>
    <w:p w:rsidR="00586DAF" w:rsidRPr="00C54B5D" w:rsidRDefault="00586DAF" w:rsidP="00586D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8 стати 18 </w:t>
      </w:r>
      <w:r w:rsidRPr="00C54B5D">
        <w:rPr>
          <w:rFonts w:ascii="Times New Roman" w:hAnsi="Times New Roman" w:cs="Times New Roman"/>
          <w:sz w:val="24"/>
          <w:szCs w:val="24"/>
        </w:rPr>
        <w:t>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№ 294-ФЗ </w:t>
      </w:r>
      <w:r w:rsidRPr="00C54B5D">
        <w:rPr>
          <w:rFonts w:ascii="Times New Roman" w:hAnsi="Times New Roman" w:cs="Times New Roman"/>
          <w:sz w:val="24"/>
          <w:szCs w:val="24"/>
        </w:rPr>
        <w:t xml:space="preserve">при определении мер, принимаемых по фактам выявленных нарушений, </w:t>
      </w:r>
      <w:r>
        <w:rPr>
          <w:rFonts w:ascii="Times New Roman" w:hAnsi="Times New Roman" w:cs="Times New Roman"/>
          <w:sz w:val="24"/>
          <w:szCs w:val="24"/>
        </w:rPr>
        <w:t>учитывалось</w:t>
      </w:r>
      <w:r w:rsidRPr="00C54B5D">
        <w:rPr>
          <w:rFonts w:ascii="Times New Roman" w:hAnsi="Times New Roman" w:cs="Times New Roman"/>
          <w:sz w:val="24"/>
          <w:szCs w:val="24"/>
        </w:rPr>
        <w:t xml:space="preserve"> соответствие указанных мер тяжести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B5D">
        <w:rPr>
          <w:rFonts w:ascii="Times New Roman" w:hAnsi="Times New Roman" w:cs="Times New Roman"/>
          <w:sz w:val="24"/>
          <w:szCs w:val="24"/>
        </w:rPr>
        <w:t xml:space="preserve">Оценка тяжести допущенных нарушений обязательных требований проводилась </w:t>
      </w:r>
      <w:r>
        <w:rPr>
          <w:rFonts w:ascii="Times New Roman" w:hAnsi="Times New Roman" w:cs="Times New Roman"/>
          <w:sz w:val="24"/>
          <w:szCs w:val="24"/>
        </w:rPr>
        <w:t>при лицензионном</w:t>
      </w:r>
      <w:r w:rsidRPr="00C54B5D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4B5D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перечнем грубых нарушений лицензионных требований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B5D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Российской Федерации от 28.10.2013 № 966 «О лицензировании образовательной деятельности)</w:t>
      </w:r>
      <w:r w:rsidRPr="00C54B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B5D">
        <w:rPr>
          <w:rFonts w:ascii="Times New Roman" w:hAnsi="Times New Roman" w:cs="Times New Roman"/>
          <w:bCs/>
          <w:sz w:val="24"/>
          <w:szCs w:val="24"/>
        </w:rPr>
        <w:t xml:space="preserve">В 2018 году </w:t>
      </w:r>
      <w:r>
        <w:rPr>
          <w:rFonts w:ascii="Times New Roman" w:hAnsi="Times New Roman" w:cs="Times New Roman"/>
          <w:bCs/>
          <w:sz w:val="24"/>
          <w:szCs w:val="24"/>
        </w:rPr>
        <w:t>в рамках лицензионного контроля</w:t>
      </w:r>
      <w:r w:rsidRPr="00C54B5D">
        <w:rPr>
          <w:rFonts w:ascii="Times New Roman" w:hAnsi="Times New Roman" w:cs="Times New Roman"/>
          <w:bCs/>
          <w:sz w:val="24"/>
          <w:szCs w:val="24"/>
        </w:rPr>
        <w:t xml:space="preserve"> выявлено 44 случая грубых нарушений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лицензионных требований</w:t>
      </w:r>
      <w:r w:rsidRPr="00C54B5D">
        <w:rPr>
          <w:rFonts w:ascii="Times New Roman" w:hAnsi="Times New Roman" w:cs="Times New Roman"/>
          <w:bCs/>
          <w:sz w:val="24"/>
          <w:szCs w:val="24"/>
        </w:rPr>
        <w:t>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 ходе проведения проверок выявлено 1127 нарушений, в том числе в ходе проверок образовательных организаций, осуществляющих образовательную деятельность 1107 нарушений (в среднем 4,7 случая в ходе одной проверки) и 20 в ходе проверок органов местного самоуправления, осуществляющих управление в сфере образования (в среднем 6,7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случаевв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ходе одной проверки). Из общего числа выявленных нарушений 86 являются правонарушениями (7,6 %).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Наибольшее количество нарушений выявлено в общеобразовательных </w:t>
      </w:r>
      <w:proofErr w:type="gramStart"/>
      <w:r>
        <w:rPr>
          <w:rFonts w:ascii="Times New Roman" w:hAnsi="Times New Roman" w:cs="Times New Roman"/>
          <w:sz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</w:rPr>
        <w:t xml:space="preserve"> (478 или 43,2 % от общего числа выявленных нарушений). По сравнению с 2017 годом отмечается увеличение числа нарушений лицензионных требования на 48,4 процента.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дошкольных образовательных </w:t>
      </w:r>
      <w:proofErr w:type="gramStart"/>
      <w:r>
        <w:rPr>
          <w:rFonts w:ascii="Times New Roman" w:hAnsi="Times New Roman" w:cs="Times New Roman"/>
          <w:sz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</w:rPr>
        <w:t xml:space="preserve"> выявлено 107 нарушений или 9,7 процента от общего числа выявленных нарушений. Положительным является снижение общего количества нарушений в дошкольных образовательных </w:t>
      </w:r>
      <w:proofErr w:type="gramStart"/>
      <w:r>
        <w:rPr>
          <w:rFonts w:ascii="Times New Roman" w:hAnsi="Times New Roman" w:cs="Times New Roman"/>
          <w:sz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</w:rPr>
        <w:t xml:space="preserve"> с 230 в 2017 году до 107 нарушений в 2018 году. При государственном надзоре уменьшение количества выявленных нарушений на 10 процентов, при лицензионном контроле - на 14,3 процента. Однако, в </w:t>
      </w:r>
      <w:proofErr w:type="gramStart"/>
      <w:r>
        <w:rPr>
          <w:rFonts w:ascii="Times New Roman" w:hAnsi="Times New Roman" w:cs="Times New Roman"/>
          <w:sz w:val="24"/>
        </w:rPr>
        <w:t>числе</w:t>
      </w:r>
      <w:proofErr w:type="gramEnd"/>
      <w:r>
        <w:rPr>
          <w:rFonts w:ascii="Times New Roman" w:hAnsi="Times New Roman" w:cs="Times New Roman"/>
          <w:sz w:val="24"/>
        </w:rPr>
        <w:t xml:space="preserve"> нарушений, выявленных при федеральном государственном надзоре, возросло количество нарушений, которые квалифицируются как правонарушения (рост по сравнению с 2017 годом на 29,0 %). Правонарушения выявлены при проверке приема и оказании платных образовательных услуг дошкольной образовательной организацией.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</w:rPr>
        <w:t xml:space="preserve"> дополнительного образования количество нарушений в 2018 году составило 158 или 14,3 процента от общего числа выявленных нарушений. По сравнению с 2017 годом имеет место увеличение числа нарушений лицензионных требования на 15,7 процента.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Особое внимание необходимо обратить на такие нарушения как (в </w:t>
      </w:r>
      <w:proofErr w:type="gramStart"/>
      <w:r>
        <w:rPr>
          <w:rFonts w:ascii="Times New Roman" w:hAnsi="Times New Roman" w:cs="Times New Roman"/>
          <w:sz w:val="24"/>
        </w:rPr>
        <w:t>общем</w:t>
      </w:r>
      <w:proofErr w:type="gramEnd"/>
      <w:r>
        <w:rPr>
          <w:rFonts w:ascii="Times New Roman" w:hAnsi="Times New Roman" w:cs="Times New Roman"/>
          <w:sz w:val="24"/>
        </w:rPr>
        <w:t xml:space="preserve"> числе нарушений их доля составляет 88,6 %):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80015C">
        <w:rPr>
          <w:rFonts w:ascii="Times New Roman" w:hAnsi="Times New Roman" w:cs="Times New Roman"/>
          <w:sz w:val="24"/>
          <w:szCs w:val="20"/>
        </w:rPr>
        <w:t>арушение л</w:t>
      </w:r>
      <w:r>
        <w:rPr>
          <w:rFonts w:ascii="Times New Roman" w:hAnsi="Times New Roman" w:cs="Times New Roman"/>
          <w:sz w:val="24"/>
          <w:szCs w:val="20"/>
        </w:rPr>
        <w:t>ицензионных требований</w:t>
      </w:r>
      <w:r w:rsidRPr="0080015C">
        <w:rPr>
          <w:rFonts w:ascii="Times New Roman" w:hAnsi="Times New Roman" w:cs="Times New Roman"/>
          <w:sz w:val="24"/>
          <w:szCs w:val="20"/>
        </w:rPr>
        <w:t xml:space="preserve"> при осуществлении образовательной деятельности</w:t>
      </w:r>
      <w:r>
        <w:rPr>
          <w:rFonts w:ascii="Times New Roman" w:hAnsi="Times New Roman" w:cs="Times New Roman"/>
          <w:sz w:val="24"/>
          <w:szCs w:val="20"/>
        </w:rPr>
        <w:t xml:space="preserve"> (4,6 % </w:t>
      </w:r>
      <w:r>
        <w:rPr>
          <w:rFonts w:ascii="Times New Roman" w:hAnsi="Times New Roman" w:cs="Times New Roman"/>
          <w:sz w:val="24"/>
        </w:rPr>
        <w:t>в общем количестве нарушений</w:t>
      </w:r>
      <w:r>
        <w:rPr>
          <w:rFonts w:ascii="Times New Roman" w:hAnsi="Times New Roman" w:cs="Times New Roman"/>
          <w:sz w:val="24"/>
          <w:szCs w:val="20"/>
        </w:rPr>
        <w:t>);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н</w:t>
      </w:r>
      <w:r w:rsidRPr="0080015C">
        <w:rPr>
          <w:rFonts w:ascii="Times New Roman" w:hAnsi="Times New Roman" w:cs="Times New Roman"/>
          <w:sz w:val="24"/>
          <w:szCs w:val="20"/>
        </w:rPr>
        <w:t>арушение требований законодательства Российской Федерации в сфере образования</w:t>
      </w:r>
      <w:r>
        <w:rPr>
          <w:rFonts w:ascii="Times New Roman" w:hAnsi="Times New Roman" w:cs="Times New Roman"/>
          <w:sz w:val="24"/>
          <w:szCs w:val="20"/>
        </w:rPr>
        <w:t xml:space="preserve"> к содержанию уставов, наличию, содержанию, разработке и принятию локальных нормативных актов (15,2 %</w:t>
      </w:r>
      <w:r>
        <w:rPr>
          <w:rFonts w:ascii="Times New Roman" w:hAnsi="Times New Roman" w:cs="Times New Roman"/>
          <w:sz w:val="24"/>
        </w:rPr>
        <w:t>в общем количестве нарушений</w:t>
      </w:r>
      <w:r>
        <w:rPr>
          <w:rFonts w:ascii="Times New Roman" w:hAnsi="Times New Roman" w:cs="Times New Roman"/>
          <w:sz w:val="24"/>
          <w:szCs w:val="20"/>
        </w:rPr>
        <w:t>);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80015C">
        <w:rPr>
          <w:rFonts w:ascii="Times New Roman" w:hAnsi="Times New Roman" w:cs="Times New Roman"/>
          <w:sz w:val="24"/>
          <w:szCs w:val="20"/>
        </w:rPr>
        <w:t>арушение</w:t>
      </w:r>
      <w:r>
        <w:rPr>
          <w:rFonts w:ascii="Times New Roman" w:hAnsi="Times New Roman" w:cs="Times New Roman"/>
          <w:sz w:val="24"/>
          <w:szCs w:val="20"/>
        </w:rPr>
        <w:t xml:space="preserve"> обязательных требований, предусмотренных</w:t>
      </w:r>
      <w:r w:rsidRPr="0080015C">
        <w:rPr>
          <w:rFonts w:ascii="Times New Roman" w:hAnsi="Times New Roman" w:cs="Times New Roman"/>
          <w:sz w:val="24"/>
          <w:szCs w:val="20"/>
        </w:rPr>
        <w:t xml:space="preserve"> статьей 28 Федерального закона № 273-ФЗ</w:t>
      </w:r>
      <w:r>
        <w:rPr>
          <w:rFonts w:ascii="Times New Roman" w:hAnsi="Times New Roman" w:cs="Times New Roman"/>
          <w:sz w:val="24"/>
          <w:szCs w:val="20"/>
        </w:rPr>
        <w:t xml:space="preserve"> (7,3 % </w:t>
      </w: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общем</w:t>
      </w:r>
      <w:proofErr w:type="gramEnd"/>
      <w:r>
        <w:rPr>
          <w:rFonts w:ascii="Times New Roman" w:hAnsi="Times New Roman" w:cs="Times New Roman"/>
          <w:sz w:val="24"/>
        </w:rPr>
        <w:t xml:space="preserve"> количестве нарушений</w:t>
      </w:r>
      <w:r>
        <w:rPr>
          <w:rFonts w:ascii="Times New Roman" w:hAnsi="Times New Roman" w:cs="Times New Roman"/>
          <w:sz w:val="24"/>
          <w:szCs w:val="20"/>
        </w:rPr>
        <w:t>);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80015C">
        <w:rPr>
          <w:rFonts w:ascii="Times New Roman" w:hAnsi="Times New Roman" w:cs="Times New Roman"/>
          <w:sz w:val="24"/>
          <w:szCs w:val="20"/>
        </w:rPr>
        <w:t>арушение</w:t>
      </w:r>
      <w:r>
        <w:rPr>
          <w:rFonts w:ascii="Times New Roman" w:hAnsi="Times New Roman" w:cs="Times New Roman"/>
          <w:sz w:val="24"/>
          <w:szCs w:val="20"/>
        </w:rPr>
        <w:t xml:space="preserve"> требований </w:t>
      </w:r>
      <w:r w:rsidRPr="000B46AE">
        <w:rPr>
          <w:rFonts w:ascii="Times New Roman" w:hAnsi="Times New Roman" w:cs="Times New Roman"/>
          <w:sz w:val="24"/>
          <w:szCs w:val="20"/>
        </w:rPr>
        <w:t>законодательства</w:t>
      </w:r>
      <w:r>
        <w:rPr>
          <w:rFonts w:ascii="Times New Roman" w:hAnsi="Times New Roman" w:cs="Times New Roman"/>
          <w:sz w:val="24"/>
          <w:szCs w:val="20"/>
        </w:rPr>
        <w:t xml:space="preserve"> Российской Федерации, связанных</w:t>
      </w:r>
      <w:r w:rsidRPr="000B46AE">
        <w:rPr>
          <w:rFonts w:ascii="Times New Roman" w:hAnsi="Times New Roman" w:cs="Times New Roman"/>
          <w:sz w:val="24"/>
          <w:szCs w:val="20"/>
        </w:rPr>
        <w:t xml:space="preserve"> с размещением информации на официальном сайте</w:t>
      </w:r>
      <w:r>
        <w:rPr>
          <w:rFonts w:ascii="Times New Roman" w:hAnsi="Times New Roman" w:cs="Times New Roman"/>
          <w:sz w:val="24"/>
          <w:szCs w:val="20"/>
        </w:rPr>
        <w:t xml:space="preserve"> (30,1 % </w:t>
      </w:r>
      <w:r>
        <w:rPr>
          <w:rFonts w:ascii="Times New Roman" w:hAnsi="Times New Roman" w:cs="Times New Roman"/>
          <w:sz w:val="24"/>
        </w:rPr>
        <w:t>в общем количестве нарушений</w:t>
      </w:r>
      <w:r>
        <w:rPr>
          <w:rFonts w:ascii="Times New Roman" w:hAnsi="Times New Roman" w:cs="Times New Roman"/>
          <w:sz w:val="24"/>
          <w:szCs w:val="20"/>
        </w:rPr>
        <w:t>).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Общеобразовательным организациям важно акцентировать внимание на </w:t>
      </w:r>
      <w:proofErr w:type="gramStart"/>
      <w:r w:rsidRPr="0080015C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015C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а именно на их соответствие федеральным государственным образовательным стандартам (31,4 % </w:t>
      </w:r>
      <w:r>
        <w:rPr>
          <w:rFonts w:ascii="Times New Roman" w:hAnsi="Times New Roman" w:cs="Times New Roman"/>
          <w:sz w:val="24"/>
        </w:rPr>
        <w:t>в общем количестве нарушений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Продолжить реализацию  мероприятий  плана по организации применения профессиональных стандартов и завершить их реализацию не позднее 1 января 2020 года.  Применение новых профессиональных стандартов осуществлять с учетом положений, предусмотренных постановлением Правительства Российской Федерации от 27.06.2016      № 584.</w:t>
      </w:r>
    </w:p>
    <w:p w:rsidR="00586DAF" w:rsidRPr="009326BB" w:rsidRDefault="00586DAF" w:rsidP="00586DAF">
      <w:pPr>
        <w:tabs>
          <w:tab w:val="center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5835D0">
        <w:rPr>
          <w:rFonts w:ascii="Times New Roman" w:hAnsi="Times New Roman" w:cs="Times New Roman"/>
          <w:iCs/>
          <w:sz w:val="24"/>
        </w:rPr>
        <w:t>В ходе проверок</w:t>
      </w:r>
      <w:r w:rsidRPr="005835D0">
        <w:rPr>
          <w:rFonts w:ascii="Times New Roman" w:hAnsi="Times New Roman" w:cs="Times New Roman"/>
          <w:sz w:val="24"/>
        </w:rPr>
        <w:t xml:space="preserve"> органов местного самоуправления, осуществляющих управление в сфере образования, основным нарушением являлось несоответствие содержания Положения управления </w:t>
      </w:r>
      <w:r w:rsidRPr="00CB7A45">
        <w:rPr>
          <w:rFonts w:ascii="Times New Roman" w:hAnsi="Times New Roman" w:cs="Times New Roman"/>
        </w:rPr>
        <w:t>(</w:t>
      </w:r>
      <w:r w:rsidRPr="005835D0">
        <w:rPr>
          <w:rFonts w:ascii="Times New Roman" w:hAnsi="Times New Roman" w:cs="Times New Roman"/>
          <w:sz w:val="24"/>
        </w:rPr>
        <w:t xml:space="preserve">отдела) образования законодательству Российской Федерации об образовании </w:t>
      </w:r>
      <w:r>
        <w:rPr>
          <w:rFonts w:ascii="Times New Roman" w:hAnsi="Times New Roman" w:cs="Times New Roman"/>
        </w:rPr>
        <w:t xml:space="preserve">(80 % </w:t>
      </w:r>
      <w:r>
        <w:rPr>
          <w:rFonts w:ascii="Times New Roman" w:hAnsi="Times New Roman" w:cs="Times New Roman"/>
          <w:sz w:val="24"/>
        </w:rPr>
        <w:t>в общем количестве нарушений).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4708">
        <w:rPr>
          <w:rFonts w:ascii="Times New Roman" w:hAnsi="Times New Roman" w:cs="Times New Roman"/>
          <w:sz w:val="24"/>
          <w:szCs w:val="24"/>
        </w:rPr>
        <w:t>В целях недо</w:t>
      </w:r>
      <w:r>
        <w:rPr>
          <w:rFonts w:ascii="Times New Roman" w:hAnsi="Times New Roman" w:cs="Times New Roman"/>
          <w:sz w:val="24"/>
          <w:szCs w:val="24"/>
        </w:rPr>
        <w:t xml:space="preserve">пущения нарушений требований законодательства в сфере образования министерство рекомендует использовать при организации образовательной деятельности нормативные правовые акты, </w:t>
      </w:r>
      <w:r w:rsidRPr="00B3679E">
        <w:rPr>
          <w:rFonts w:ascii="Times New Roman" w:hAnsi="Times New Roman" w:cs="Times New Roman"/>
          <w:bCs/>
          <w:sz w:val="24"/>
          <w:szCs w:val="24"/>
        </w:rPr>
        <w:t>содержащи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3679E">
        <w:rPr>
          <w:rFonts w:ascii="Times New Roman" w:hAnsi="Times New Roman" w:cs="Times New Roman"/>
          <w:bCs/>
          <w:sz w:val="24"/>
          <w:szCs w:val="24"/>
        </w:rPr>
        <w:t xml:space="preserve"> обязательные требования, соблюдение которых оценивается при проведении </w:t>
      </w:r>
      <w:r>
        <w:rPr>
          <w:rFonts w:ascii="Times New Roman" w:hAnsi="Times New Roman" w:cs="Times New Roman"/>
          <w:bCs/>
          <w:sz w:val="24"/>
          <w:szCs w:val="24"/>
        </w:rPr>
        <w:t>контрольно-надзорных мероприятий.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Перечень нормативных правовых актов, размещён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министерства </w:t>
      </w:r>
      <w:hyperlink r:id="rId8" w:history="1">
        <w:r w:rsidRPr="00F14004">
          <w:rPr>
            <w:rStyle w:val="a4"/>
            <w:rFonts w:ascii="Times New Roman" w:hAnsi="Times New Roman"/>
            <w:sz w:val="24"/>
            <w:szCs w:val="24"/>
          </w:rPr>
          <w:t>http://obrazov.cap.ru/action/activity/nadzor-i-kontrolj-v-sfere-obrazovaniya/gosudarstvennaya-akkreditaciya-obrazovateljnoj-dey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2A78">
        <w:rPr>
          <w:rFonts w:ascii="Times New Roman" w:hAnsi="Times New Roman" w:cs="Times New Roman"/>
          <w:sz w:val="24"/>
        </w:rPr>
        <w:t>предупреждение нарушения субъектами надзора обязательных требований</w:t>
      </w:r>
      <w:r>
        <w:rPr>
          <w:rFonts w:ascii="Times New Roman" w:hAnsi="Times New Roman" w:cs="Times New Roman"/>
          <w:sz w:val="24"/>
        </w:rPr>
        <w:t xml:space="preserve">, </w:t>
      </w:r>
      <w:r w:rsidRPr="00342A78">
        <w:rPr>
          <w:rFonts w:ascii="Times New Roman" w:hAnsi="Times New Roman" w:cs="Times New Roman"/>
          <w:sz w:val="24"/>
        </w:rPr>
        <w:t>снижения рисков их возникновения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Минобразования Чувашии ежемесячно публикует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министерства </w:t>
      </w:r>
      <w:hyperlink r:id="rId9" w:history="1">
        <w:r w:rsidRPr="00F14004">
          <w:rPr>
            <w:rStyle w:val="a4"/>
            <w:rFonts w:ascii="Times New Roman" w:hAnsi="Times New Roman"/>
            <w:sz w:val="24"/>
            <w:szCs w:val="24"/>
          </w:rPr>
          <w:t>http://obrazov.cap.ru/action/activity/nadzor-i-kontrolj-v-sfere-obrazovaniya/gosudarstvennaya-akkreditaciya-obrazovateljnoj-dey</w:t>
        </w:r>
      </w:hyperlink>
      <w:r>
        <w:rPr>
          <w:rFonts w:ascii="Times New Roman" w:hAnsi="Times New Roman"/>
          <w:sz w:val="24"/>
          <w:szCs w:val="24"/>
        </w:rPr>
        <w:t xml:space="preserve">  информацию об итогах проведения проверок образовательных организаций, осуществляющих образовательную деятельность на территории Чувашской Республики. 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Итоги предоставления государственных услуг в 2018 году</w:t>
      </w:r>
    </w:p>
    <w:p w:rsidR="00586DAF" w:rsidRPr="003F2BB4" w:rsidRDefault="00586DAF" w:rsidP="00586DAF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2018 году</w:t>
      </w:r>
      <w:r w:rsidRPr="003F2BB4">
        <w:rPr>
          <w:rFonts w:ascii="Times New Roman" w:hAnsi="Times New Roman"/>
          <w:sz w:val="24"/>
        </w:rPr>
        <w:t xml:space="preserve"> предоставлялись государственные услуги по лицензированию и государственной аккредитации образовательной деятельности, по подтверждению документов об образовании и (или) квалификации. </w:t>
      </w:r>
    </w:p>
    <w:p w:rsidR="00586DAF" w:rsidRPr="003F2BB4" w:rsidRDefault="00586DAF" w:rsidP="00586DAF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Проведена</w:t>
      </w:r>
      <w:r w:rsidRPr="009649C0">
        <w:rPr>
          <w:rFonts w:ascii="Times New Roman" w:hAnsi="Times New Roman"/>
          <w:sz w:val="24"/>
        </w:rPr>
        <w:t xml:space="preserve"> работа по предоставлению государственных услуг по лицензированию и государственной аккредитации образовательной деятельности в электронном виде</w:t>
      </w:r>
      <w:r>
        <w:rPr>
          <w:rFonts w:ascii="Times New Roman" w:hAnsi="Times New Roman"/>
          <w:sz w:val="24"/>
        </w:rPr>
        <w:t xml:space="preserve"> (</w:t>
      </w:r>
      <w:hyperlink r:id="rId10" w:history="1">
        <w:r w:rsidRPr="0024207B">
          <w:rPr>
            <w:rStyle w:val="a4"/>
            <w:i/>
            <w:iCs/>
          </w:rPr>
          <w:t>http://obrazov.cap.ru/action/activity/nadzor-i-kontrolj-v-sfere-obrazovaniya/gosudarstvennaya-akkreditaciya-obrazovateljnoj-dey</w:t>
        </w:r>
      </w:hyperlink>
      <w:r>
        <w:t>).</w:t>
      </w:r>
      <w:r w:rsidRPr="009649C0">
        <w:rPr>
          <w:rFonts w:ascii="Times New Roman" w:hAnsi="Times New Roman"/>
          <w:sz w:val="24"/>
        </w:rPr>
        <w:t xml:space="preserve"> </w:t>
      </w:r>
      <w:r w:rsidRPr="003F2BB4">
        <w:rPr>
          <w:rFonts w:ascii="Times New Roman" w:hAnsi="Times New Roman"/>
          <w:sz w:val="24"/>
        </w:rPr>
        <w:t>В личном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3F2BB4">
        <w:rPr>
          <w:rFonts w:ascii="Times New Roman" w:hAnsi="Times New Roman"/>
          <w:sz w:val="24"/>
        </w:rPr>
        <w:t>кабинете</w:t>
      </w:r>
      <w:proofErr w:type="gramEnd"/>
      <w:r w:rsidRPr="003F2B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было </w:t>
      </w:r>
      <w:r w:rsidRPr="003F2BB4">
        <w:rPr>
          <w:rFonts w:ascii="Times New Roman" w:hAnsi="Times New Roman"/>
          <w:sz w:val="24"/>
        </w:rPr>
        <w:t>зарегистрировано</w:t>
      </w:r>
      <w:r>
        <w:rPr>
          <w:rFonts w:ascii="Times New Roman" w:hAnsi="Times New Roman"/>
          <w:sz w:val="24"/>
        </w:rPr>
        <w:t xml:space="preserve"> </w:t>
      </w:r>
      <w:r w:rsidRPr="003F2BB4">
        <w:rPr>
          <w:rFonts w:ascii="Times New Roman" w:hAnsi="Times New Roman"/>
          <w:sz w:val="24"/>
        </w:rPr>
        <w:t xml:space="preserve">196 заявителей. </w:t>
      </w:r>
      <w:r>
        <w:rPr>
          <w:rFonts w:ascii="Times New Roman" w:hAnsi="Times New Roman"/>
          <w:sz w:val="24"/>
        </w:rPr>
        <w:t>Продолжилась</w:t>
      </w:r>
      <w:r w:rsidRPr="003F2BB4">
        <w:rPr>
          <w:rFonts w:ascii="Times New Roman" w:hAnsi="Times New Roman"/>
          <w:sz w:val="24"/>
        </w:rPr>
        <w:t xml:space="preserve"> работа по предоставлению государственных услуг через МФЦ. </w:t>
      </w:r>
    </w:p>
    <w:p w:rsidR="00586DAF" w:rsidRPr="009D6B9A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3.1</w:t>
      </w:r>
      <w:r w:rsidRPr="009D6B9A">
        <w:rPr>
          <w:rFonts w:ascii="Times New Roman" w:hAnsi="Times New Roman" w:cs="Times New Roman"/>
          <w:i/>
          <w:sz w:val="24"/>
        </w:rPr>
        <w:t>. Лицензирование образовательной деятельности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количество лицензиатов на конец 2018 года – 1047 (336- детских садов, 435 – школ, 32 – техникума, 107 – организаций дополнительного образования, иных – 137).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поданных заявлений о предоставлении, переоформлении, прекращении  действия лицензии – 150, </w:t>
      </w:r>
      <w:r w:rsidRPr="00C36E90">
        <w:rPr>
          <w:rFonts w:ascii="Times New Roman" w:hAnsi="Times New Roman" w:cs="Times New Roman"/>
          <w:sz w:val="24"/>
        </w:rPr>
        <w:t>из них в электронном виде –89</w:t>
      </w:r>
      <w:r>
        <w:rPr>
          <w:rFonts w:ascii="Times New Roman" w:hAnsi="Times New Roman" w:cs="Times New Roman"/>
          <w:sz w:val="24"/>
        </w:rPr>
        <w:t xml:space="preserve"> (59,0 %), через МФЦ – 50 (33,0 %). </w:t>
      </w:r>
      <w:r w:rsidRPr="004A3CF1">
        <w:rPr>
          <w:rFonts w:ascii="Times New Roman" w:hAnsi="Times New Roman" w:cs="Times New Roman"/>
          <w:sz w:val="24"/>
        </w:rPr>
        <w:t>Выдано и переоформлено 153</w:t>
      </w:r>
      <w:r>
        <w:rPr>
          <w:rFonts w:ascii="Times New Roman" w:hAnsi="Times New Roman" w:cs="Times New Roman"/>
          <w:sz w:val="24"/>
        </w:rPr>
        <w:t xml:space="preserve"> </w:t>
      </w:r>
      <w:r w:rsidRPr="004A3CF1">
        <w:rPr>
          <w:rFonts w:ascii="Times New Roman" w:hAnsi="Times New Roman" w:cs="Times New Roman"/>
          <w:sz w:val="24"/>
        </w:rPr>
        <w:t>лицензии.</w:t>
      </w:r>
      <w:r>
        <w:rPr>
          <w:rFonts w:ascii="Times New Roman" w:hAnsi="Times New Roman" w:cs="Times New Roman"/>
          <w:sz w:val="24"/>
        </w:rPr>
        <w:t xml:space="preserve"> Имеют место отказы в </w:t>
      </w:r>
      <w:proofErr w:type="gramStart"/>
      <w:r>
        <w:rPr>
          <w:rFonts w:ascii="Times New Roman" w:hAnsi="Times New Roman" w:cs="Times New Roman"/>
          <w:sz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</w:rPr>
        <w:t xml:space="preserve"> лицензии  в связи с наличием в представленных соискателем лицензии заявлении и прилагаемых документах недостоверной (искаженной) информации. Всего проведено 232 проверки  лицензиатов и соискателей лицензии. 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Количество направленных межведомственных запросов, связанных с предоставлением государственной услуги по лицензированию – 286.</w:t>
      </w:r>
    </w:p>
    <w:p w:rsidR="00586DAF" w:rsidRPr="009D6B9A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3.2</w:t>
      </w:r>
      <w:r w:rsidRPr="009D6B9A">
        <w:rPr>
          <w:rFonts w:ascii="Times New Roman" w:hAnsi="Times New Roman"/>
          <w:i/>
          <w:sz w:val="24"/>
          <w:szCs w:val="24"/>
        </w:rPr>
        <w:t>. Государственная аккредитация образовательной деятельности.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подано 17 заявлений о проведении государственной аккредитации (2) и о  переоформлении свидетельства о государственной аккредитации (15), из них 6 в электронном виде (35,2 %). Выдано (переоформлено) 17 свидетельств.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организаций, имеющих свидетельства  о государственной аккредитации на 31.12.2018 г. - 470 (440 школ, 30 техникумов).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Проведено 7 заседаний </w:t>
      </w:r>
      <w:proofErr w:type="spellStart"/>
      <w:r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совета, на которых </w:t>
      </w:r>
      <w:r w:rsidRPr="00F90DC5">
        <w:rPr>
          <w:rFonts w:ascii="Times New Roman" w:hAnsi="Times New Roman"/>
          <w:sz w:val="24"/>
          <w:szCs w:val="24"/>
        </w:rPr>
        <w:t>рассмотрены</w:t>
      </w:r>
      <w:r>
        <w:rPr>
          <w:rFonts w:ascii="Times New Roman" w:hAnsi="Times New Roman"/>
          <w:sz w:val="24"/>
          <w:szCs w:val="24"/>
        </w:rPr>
        <w:t xml:space="preserve"> экспертные заключения о государственной аккредитации образовательной деятельности, </w:t>
      </w:r>
      <w:r>
        <w:rPr>
          <w:rFonts w:ascii="Times New Roman" w:hAnsi="Times New Roman" w:cs="Times New Roman"/>
          <w:sz w:val="24"/>
        </w:rPr>
        <w:t>а также вопросы приостановления и лишения государственной аккредитации образовательной деятельности.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2018 году в проведении </w:t>
      </w:r>
      <w:proofErr w:type="spellStart"/>
      <w:r>
        <w:rPr>
          <w:rFonts w:ascii="Times New Roman" w:hAnsi="Times New Roman" w:cs="Times New Roman"/>
          <w:sz w:val="24"/>
        </w:rPr>
        <w:t>аккредитационной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приняли участие 14 экспертов из 53, включенных в реестр экспертов.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67A3E">
        <w:rPr>
          <w:rFonts w:ascii="Times New Roman" w:hAnsi="Times New Roman" w:cs="Times New Roman"/>
          <w:i/>
          <w:sz w:val="24"/>
        </w:rPr>
        <w:t>3.3.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67A3E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осударственные</w:t>
      </w:r>
      <w:r w:rsidRPr="00767A3E">
        <w:rPr>
          <w:rFonts w:ascii="Times New Roman" w:hAnsi="Times New Roman"/>
          <w:i/>
          <w:sz w:val="24"/>
          <w:szCs w:val="24"/>
        </w:rPr>
        <w:t xml:space="preserve"> услуг</w:t>
      </w:r>
      <w:r>
        <w:rPr>
          <w:rFonts w:ascii="Times New Roman" w:hAnsi="Times New Roman"/>
          <w:i/>
          <w:sz w:val="24"/>
          <w:szCs w:val="24"/>
        </w:rPr>
        <w:t>и</w:t>
      </w:r>
      <w:r w:rsidRPr="00767A3E">
        <w:rPr>
          <w:rFonts w:ascii="Times New Roman" w:hAnsi="Times New Roman"/>
          <w:i/>
          <w:sz w:val="24"/>
          <w:szCs w:val="24"/>
        </w:rPr>
        <w:t xml:space="preserve"> по подтверждению документов об образовании и (или) квалификации, ученых степенях, ученых званиях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Подано 89 заявлений, из них на подтверждение: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 об образовании  - 17 (19,1%)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 об образовании и о квалификации – 71 (79,8 %)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 о квалификации – 1 (1,1 %)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числа подавших заявления  на подтверждение документов  34 человека (38,2 %) – мужчины, 55 (61,8 %)– женщины.</w:t>
      </w: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числа подавших заявления  на подтверждение документов 17 являются иностранными гражданами (19,0 %), 72 – россияне (81,0 %).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3685"/>
      </w:tblGrid>
      <w:tr w:rsidR="00586DAF" w:rsidTr="0082360E">
        <w:tc>
          <w:tcPr>
            <w:tcW w:w="851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выезда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Подтверждено документов 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выезда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работа,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586DAF" w:rsidTr="0082360E">
        <w:tc>
          <w:tcPr>
            <w:tcW w:w="851" w:type="dxa"/>
          </w:tcPr>
          <w:p w:rsidR="00586DAF" w:rsidRPr="00C4468C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работа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Зеландия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Оман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Словения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работа,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 ПМЖ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Чехия 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Чили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Эквадор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86DAF" w:rsidTr="0082360E">
        <w:tc>
          <w:tcPr>
            <w:tcW w:w="851" w:type="dxa"/>
          </w:tcPr>
          <w:p w:rsidR="00586DAF" w:rsidRDefault="00586DAF" w:rsidP="00586DAF">
            <w:pPr>
              <w:pStyle w:val="a3"/>
              <w:numPr>
                <w:ilvl w:val="0"/>
                <w:numId w:val="4"/>
              </w:numPr>
              <w:tabs>
                <w:tab w:val="left" w:pos="-2268"/>
              </w:tabs>
              <w:ind w:left="0" w:right="-6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направления </w:t>
            </w:r>
          </w:p>
        </w:tc>
        <w:tc>
          <w:tcPr>
            <w:tcW w:w="2410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86DAF" w:rsidRDefault="00586DAF" w:rsidP="0082360E">
            <w:pPr>
              <w:pStyle w:val="a3"/>
              <w:tabs>
                <w:tab w:val="left" w:pos="-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</w:tbl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5835D0">
        <w:rPr>
          <w:rFonts w:ascii="Times New Roman" w:hAnsi="Times New Roman" w:cs="Times New Roman"/>
          <w:b/>
          <w:sz w:val="24"/>
        </w:rPr>
        <w:lastRenderedPageBreak/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Pr="00F80215">
        <w:rPr>
          <w:rFonts w:ascii="Times New Roman" w:hAnsi="Times New Roman" w:cs="Times New Roman"/>
          <w:b/>
          <w:sz w:val="24"/>
        </w:rPr>
        <w:t xml:space="preserve">Участие </w:t>
      </w:r>
      <w:r>
        <w:rPr>
          <w:rFonts w:ascii="Times New Roman" w:hAnsi="Times New Roman" w:cs="Times New Roman"/>
          <w:b/>
          <w:sz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4"/>
        </w:rPr>
        <w:t>проведении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ЕГЭ и ОГЭ.</w:t>
      </w:r>
    </w:p>
    <w:p w:rsidR="00586DAF" w:rsidRDefault="00586DAF" w:rsidP="00586DAF">
      <w:pPr>
        <w:tabs>
          <w:tab w:val="left" w:pos="-609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F2BB4">
        <w:rPr>
          <w:rFonts w:ascii="Times New Roman" w:hAnsi="Times New Roman"/>
          <w:sz w:val="24"/>
        </w:rPr>
        <w:t xml:space="preserve">Специалисты управления присутствовали в ППЭ, РЦОИ, предметных и конфликтных </w:t>
      </w:r>
      <w:proofErr w:type="gramStart"/>
      <w:r w:rsidRPr="003F2BB4">
        <w:rPr>
          <w:rFonts w:ascii="Times New Roman" w:hAnsi="Times New Roman"/>
          <w:sz w:val="24"/>
        </w:rPr>
        <w:t>комиссиях</w:t>
      </w:r>
      <w:proofErr w:type="gramEnd"/>
      <w:r w:rsidRPr="003F2BB4">
        <w:rPr>
          <w:rFonts w:ascii="Times New Roman" w:hAnsi="Times New Roman"/>
          <w:sz w:val="24"/>
        </w:rPr>
        <w:t xml:space="preserve"> при проведении государственной итоговой аттестации. По фактам правонарушений составлен 21 протокол об административном правонарушении. </w:t>
      </w:r>
    </w:p>
    <w:p w:rsidR="00586DAF" w:rsidRPr="00B30BFF" w:rsidRDefault="00586DAF" w:rsidP="00586DAF">
      <w:pPr>
        <w:tabs>
          <w:tab w:val="left" w:pos="-609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30BFF">
        <w:rPr>
          <w:rFonts w:ascii="Times New Roman" w:hAnsi="Times New Roman"/>
          <w:sz w:val="24"/>
        </w:rPr>
        <w:t>Нарушения:</w:t>
      </w:r>
    </w:p>
    <w:p w:rsidR="00586DAF" w:rsidRPr="00B30BFF" w:rsidRDefault="00586DAF" w:rsidP="00586DAF">
      <w:pPr>
        <w:tabs>
          <w:tab w:val="left" w:pos="-6096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B30BFF">
        <w:rPr>
          <w:rFonts w:ascii="Times New Roman" w:hAnsi="Times New Roman"/>
          <w:sz w:val="24"/>
        </w:rPr>
        <w:t>наличие (или передача) сре</w:t>
      </w:r>
      <w:proofErr w:type="gramStart"/>
      <w:r w:rsidRPr="00B30BFF">
        <w:rPr>
          <w:rFonts w:ascii="Times New Roman" w:hAnsi="Times New Roman"/>
          <w:sz w:val="24"/>
        </w:rPr>
        <w:t>дств св</w:t>
      </w:r>
      <w:proofErr w:type="gramEnd"/>
      <w:r w:rsidRPr="00B30BFF">
        <w:rPr>
          <w:rFonts w:ascii="Times New Roman" w:hAnsi="Times New Roman"/>
          <w:sz w:val="24"/>
        </w:rPr>
        <w:t>язи - 8</w:t>
      </w:r>
    </w:p>
    <w:p w:rsidR="00586DAF" w:rsidRPr="00B30BFF" w:rsidRDefault="00586DAF" w:rsidP="00586DAF">
      <w:pPr>
        <w:tabs>
          <w:tab w:val="left" w:pos="-6096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B30BFF">
        <w:rPr>
          <w:rFonts w:ascii="Times New Roman" w:hAnsi="Times New Roman"/>
          <w:sz w:val="24"/>
        </w:rPr>
        <w:t>наличие фотоаппарата, планшета – 2</w:t>
      </w:r>
    </w:p>
    <w:p w:rsidR="00586DAF" w:rsidRPr="00B30BFF" w:rsidRDefault="00586DAF" w:rsidP="00586DAF">
      <w:pPr>
        <w:tabs>
          <w:tab w:val="left" w:pos="-6096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B30BFF">
        <w:rPr>
          <w:rFonts w:ascii="Times New Roman" w:hAnsi="Times New Roman"/>
          <w:sz w:val="24"/>
        </w:rPr>
        <w:t>наличие (или передача) справочных материалов – 4</w:t>
      </w:r>
    </w:p>
    <w:p w:rsidR="00586DAF" w:rsidRPr="00B30BFF" w:rsidRDefault="00586DAF" w:rsidP="00586DAF">
      <w:pPr>
        <w:tabs>
          <w:tab w:val="left" w:pos="-6096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B30BFF">
        <w:rPr>
          <w:rFonts w:ascii="Times New Roman" w:hAnsi="Times New Roman"/>
          <w:sz w:val="24"/>
        </w:rPr>
        <w:t>наличие письменных заметок – 4</w:t>
      </w:r>
    </w:p>
    <w:p w:rsidR="00586DAF" w:rsidRPr="00B30BFF" w:rsidRDefault="00586DAF" w:rsidP="00586DAF">
      <w:pPr>
        <w:tabs>
          <w:tab w:val="left" w:pos="-6096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B30BFF">
        <w:rPr>
          <w:rFonts w:ascii="Times New Roman" w:hAnsi="Times New Roman"/>
          <w:sz w:val="24"/>
        </w:rPr>
        <w:t>нарушение порядка проведения ОГЭ организатором - 1</w:t>
      </w:r>
    </w:p>
    <w:p w:rsidR="00586DAF" w:rsidRDefault="00586DAF" w:rsidP="00586DAF">
      <w:pPr>
        <w:tabs>
          <w:tab w:val="left" w:pos="-609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86DAF" w:rsidRPr="003F2BB4" w:rsidRDefault="00586DAF" w:rsidP="00586DAF">
      <w:pPr>
        <w:tabs>
          <w:tab w:val="left" w:pos="-609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86DAF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5835D0">
        <w:rPr>
          <w:rFonts w:ascii="Times New Roman" w:hAnsi="Times New Roman" w:cs="Times New Roman"/>
          <w:b/>
          <w:sz w:val="24"/>
        </w:rPr>
        <w:t>Задачи на 2019 год.</w:t>
      </w:r>
    </w:p>
    <w:p w:rsidR="00586DAF" w:rsidRPr="00F90DC5" w:rsidRDefault="00586DAF" w:rsidP="00586DAF">
      <w:pPr>
        <w:pStyle w:val="a3"/>
        <w:tabs>
          <w:tab w:val="left" w:pos="-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C5">
        <w:rPr>
          <w:rFonts w:ascii="Times New Roman" w:hAnsi="Times New Roman" w:cs="Times New Roman"/>
          <w:sz w:val="24"/>
          <w:szCs w:val="24"/>
        </w:rPr>
        <w:t xml:space="preserve">1.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контрольно-надзорной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</w:p>
    <w:p w:rsidR="00586DAF" w:rsidRPr="005B6F53" w:rsidRDefault="00586DAF" w:rsidP="00586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F5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Обеспечение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бъективного проведения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(ЕГЭ, ОГЭ, ВПР и пр.)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F53">
        <w:rPr>
          <w:rFonts w:ascii="Times New Roman" w:hAnsi="Times New Roman" w:cs="Times New Roman"/>
          <w:sz w:val="24"/>
          <w:szCs w:val="24"/>
        </w:rPr>
        <w:t xml:space="preserve">3.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профилактических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недопущению нарушений обязательных требований законодательства в сфере образования.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90DC5">
        <w:rPr>
          <w:rFonts w:ascii="Times New Roman" w:hAnsi="Times New Roman" w:cs="Times New Roman"/>
          <w:sz w:val="24"/>
          <w:szCs w:val="24"/>
        </w:rPr>
        <w:t xml:space="preserve">Продолжение работы по переводу </w:t>
      </w:r>
      <w:proofErr w:type="spellStart"/>
      <w:r w:rsidRPr="00F90DC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90DC5">
        <w:rPr>
          <w:rFonts w:ascii="Times New Roman" w:hAnsi="Times New Roman" w:cs="Times New Roman"/>
          <w:sz w:val="24"/>
          <w:szCs w:val="24"/>
        </w:rPr>
        <w:t xml:space="preserve">  и КНД в электронный вид.</w:t>
      </w:r>
    </w:p>
    <w:p w:rsidR="00586DAF" w:rsidRDefault="00586DAF" w:rsidP="00586DAF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5C539B" w:rsidRDefault="005C539B" w:rsidP="00586DAF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86DAF" w:rsidRPr="001E215B" w:rsidRDefault="00586DAF" w:rsidP="00586D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326CA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326CA">
        <w:rPr>
          <w:rFonts w:ascii="Times New Roman" w:hAnsi="Times New Roman" w:cs="Times New Roman"/>
          <w:b/>
          <w:sz w:val="24"/>
        </w:rPr>
        <w:t>Перспективы интеграции контрольно-надзорной деятельности и единой системы оценки качества образования</w:t>
      </w:r>
    </w:p>
    <w:p w:rsidR="00586DAF" w:rsidRDefault="00586DAF" w:rsidP="00586DA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 w:rsidRPr="00F90DC5">
        <w:rPr>
          <w:rFonts w:ascii="Times New Roman" w:hAnsi="Times New Roman" w:cs="Times New Roman"/>
          <w:sz w:val="24"/>
          <w:szCs w:val="24"/>
        </w:rPr>
        <w:t xml:space="preserve">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контрольно-надзорной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6F5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6DAF" w:rsidRPr="00A95E02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E02">
        <w:rPr>
          <w:rFonts w:ascii="Times New Roman" w:hAnsi="Times New Roman" w:cs="Times New Roman"/>
          <w:i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95E02">
        <w:rPr>
          <w:rFonts w:ascii="Times New Roman" w:hAnsi="Times New Roman" w:cs="Times New Roman"/>
          <w:i/>
          <w:sz w:val="24"/>
          <w:szCs w:val="24"/>
        </w:rPr>
        <w:t xml:space="preserve">нтеграция информационных систем «ГИС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95E02">
        <w:rPr>
          <w:rFonts w:ascii="Times New Roman" w:hAnsi="Times New Roman" w:cs="Times New Roman"/>
          <w:i/>
          <w:sz w:val="24"/>
          <w:szCs w:val="24"/>
        </w:rPr>
        <w:t>адзора» и  «ФИС ОКО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586DAF" w:rsidRDefault="00586DAF" w:rsidP="00586D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информации  в информационных системах;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зон риска исходя из необъективных результатов оценочных процедур (разделение образовательных организаций по зонам риска);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плана проверки исходя из зон риска;</w:t>
      </w:r>
    </w:p>
    <w:p w:rsidR="00586DAF" w:rsidRPr="00A95E02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E02">
        <w:rPr>
          <w:rFonts w:ascii="Times New Roman" w:hAnsi="Times New Roman" w:cs="Times New Roman"/>
          <w:i/>
          <w:sz w:val="24"/>
          <w:szCs w:val="24"/>
        </w:rPr>
        <w:t xml:space="preserve">1.2. </w:t>
      </w:r>
      <w:r>
        <w:rPr>
          <w:rFonts w:ascii="Times New Roman" w:hAnsi="Times New Roman" w:cs="Times New Roman"/>
          <w:i/>
          <w:sz w:val="24"/>
          <w:szCs w:val="24"/>
        </w:rPr>
        <w:t>Проведение проверки по единым стандартам с привлечением внешних экспертов</w:t>
      </w:r>
      <w:r w:rsidRPr="00A95E02">
        <w:rPr>
          <w:rFonts w:ascii="Times New Roman" w:hAnsi="Times New Roman" w:cs="Times New Roman"/>
          <w:i/>
          <w:sz w:val="24"/>
          <w:szCs w:val="24"/>
        </w:rPr>
        <w:t>:</w:t>
      </w:r>
    </w:p>
    <w:p w:rsidR="00586DAF" w:rsidRDefault="00586DAF" w:rsidP="00586D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r>
        <w:rPr>
          <w:rFonts w:ascii="Times New Roman" w:hAnsi="Times New Roman" w:cs="Times New Roman"/>
          <w:sz w:val="24"/>
        </w:rPr>
        <w:t>единых контрольно-измерительных материалов, единой системы оценивания;</w:t>
      </w:r>
    </w:p>
    <w:p w:rsidR="00586DAF" w:rsidRDefault="00586DAF" w:rsidP="00586D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215B">
        <w:rPr>
          <w:rFonts w:ascii="Times New Roman" w:hAnsi="Times New Roman" w:cs="Times New Roman"/>
          <w:sz w:val="24"/>
          <w:szCs w:val="24"/>
        </w:rPr>
        <w:t>- создание федерального реест</w:t>
      </w:r>
      <w:r>
        <w:rPr>
          <w:rFonts w:ascii="Times New Roman" w:hAnsi="Times New Roman" w:cs="Times New Roman"/>
          <w:sz w:val="24"/>
          <w:szCs w:val="24"/>
        </w:rPr>
        <w:t>ра экспертов;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аттестация экспертов на предмет владения предметными знаниями, системой оценивания;</w:t>
      </w:r>
    </w:p>
    <w:p w:rsidR="00586DAF" w:rsidRDefault="00586DAF" w:rsidP="00586D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поэтапный перевод работы экспертов в электронный вид;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работы экспертов с сайтами образовательных организаций, с документами, размещенных в 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организаций.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BF3">
        <w:rPr>
          <w:rFonts w:ascii="Times New Roman" w:hAnsi="Times New Roman" w:cs="Times New Roman"/>
          <w:i/>
          <w:sz w:val="24"/>
          <w:szCs w:val="24"/>
        </w:rPr>
        <w:t>1.3.</w:t>
      </w:r>
      <w:r>
        <w:rPr>
          <w:rFonts w:ascii="Times New Roman" w:hAnsi="Times New Roman" w:cs="Times New Roman"/>
          <w:i/>
          <w:sz w:val="24"/>
          <w:szCs w:val="24"/>
        </w:rPr>
        <w:t xml:space="preserve"> Анализ результатов проверки.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азработка плана совместных действий по устранению нарушений;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публичное обсуждение результатов проверки;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опыта субъектов находящихся вне зоны риска;</w:t>
      </w:r>
    </w:p>
    <w:p w:rsidR="00586DAF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эффективности устранения нарушений;</w:t>
      </w:r>
    </w:p>
    <w:p w:rsidR="00586DAF" w:rsidRPr="00882BF3" w:rsidRDefault="00586DAF" w:rsidP="0058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-принятие управленческих решений (объективная оценка деятельности учителей, предметная, методическая  подготовка  учителей; оценка деятельности директоров школ). </w:t>
      </w:r>
    </w:p>
    <w:p w:rsidR="00586DAF" w:rsidRDefault="00586DAF" w:rsidP="00350B14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  <w:u w:val="single"/>
        </w:rPr>
      </w:pPr>
    </w:p>
    <w:sectPr w:rsidR="00586DAF" w:rsidSect="00B2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35C"/>
    <w:multiLevelType w:val="hybridMultilevel"/>
    <w:tmpl w:val="8148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45B5"/>
    <w:multiLevelType w:val="hybridMultilevel"/>
    <w:tmpl w:val="98DCA604"/>
    <w:lvl w:ilvl="0" w:tplc="A4363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1226C"/>
    <w:multiLevelType w:val="hybridMultilevel"/>
    <w:tmpl w:val="EDA0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24F07"/>
    <w:multiLevelType w:val="hybridMultilevel"/>
    <w:tmpl w:val="4AAC3602"/>
    <w:lvl w:ilvl="0" w:tplc="A4D4FA06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0F0EA6"/>
    <w:multiLevelType w:val="hybridMultilevel"/>
    <w:tmpl w:val="6B841302"/>
    <w:lvl w:ilvl="0" w:tplc="92985B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807"/>
    <w:rsid w:val="00012B58"/>
    <w:rsid w:val="000202C5"/>
    <w:rsid w:val="000A4A66"/>
    <w:rsid w:val="000B46AE"/>
    <w:rsid w:val="000E63A8"/>
    <w:rsid w:val="000F0185"/>
    <w:rsid w:val="000F6BD1"/>
    <w:rsid w:val="001E215B"/>
    <w:rsid w:val="001E39C4"/>
    <w:rsid w:val="001E7121"/>
    <w:rsid w:val="00241F03"/>
    <w:rsid w:val="00244281"/>
    <w:rsid w:val="00265805"/>
    <w:rsid w:val="00286F37"/>
    <w:rsid w:val="002A2CAE"/>
    <w:rsid w:val="002C22FC"/>
    <w:rsid w:val="002D67A4"/>
    <w:rsid w:val="00324508"/>
    <w:rsid w:val="00342A78"/>
    <w:rsid w:val="003434B1"/>
    <w:rsid w:val="00350B14"/>
    <w:rsid w:val="003830EF"/>
    <w:rsid w:val="00383A15"/>
    <w:rsid w:val="0038431E"/>
    <w:rsid w:val="003A09AE"/>
    <w:rsid w:val="003C798D"/>
    <w:rsid w:val="003F2BB4"/>
    <w:rsid w:val="00427F66"/>
    <w:rsid w:val="004427B9"/>
    <w:rsid w:val="004716E8"/>
    <w:rsid w:val="004A3CF1"/>
    <w:rsid w:val="004E03BC"/>
    <w:rsid w:val="0050759F"/>
    <w:rsid w:val="005265C9"/>
    <w:rsid w:val="005326CA"/>
    <w:rsid w:val="005522DE"/>
    <w:rsid w:val="00552F39"/>
    <w:rsid w:val="005722EA"/>
    <w:rsid w:val="005835D0"/>
    <w:rsid w:val="00586DAF"/>
    <w:rsid w:val="005B3424"/>
    <w:rsid w:val="005B6F53"/>
    <w:rsid w:val="005C539B"/>
    <w:rsid w:val="0061497C"/>
    <w:rsid w:val="006423FF"/>
    <w:rsid w:val="006A015E"/>
    <w:rsid w:val="006A1046"/>
    <w:rsid w:val="006D2995"/>
    <w:rsid w:val="007250E3"/>
    <w:rsid w:val="007272AA"/>
    <w:rsid w:val="00767A3E"/>
    <w:rsid w:val="007768A7"/>
    <w:rsid w:val="007A66A6"/>
    <w:rsid w:val="007C5807"/>
    <w:rsid w:val="0080015C"/>
    <w:rsid w:val="00810A20"/>
    <w:rsid w:val="00822AAC"/>
    <w:rsid w:val="00874C5D"/>
    <w:rsid w:val="00882BF3"/>
    <w:rsid w:val="008B0518"/>
    <w:rsid w:val="008C0052"/>
    <w:rsid w:val="008C291C"/>
    <w:rsid w:val="008F3911"/>
    <w:rsid w:val="00927839"/>
    <w:rsid w:val="009326BB"/>
    <w:rsid w:val="00957B14"/>
    <w:rsid w:val="009649C0"/>
    <w:rsid w:val="00965E74"/>
    <w:rsid w:val="00983C27"/>
    <w:rsid w:val="00997CB1"/>
    <w:rsid w:val="009C1465"/>
    <w:rsid w:val="009D6B9A"/>
    <w:rsid w:val="009E0356"/>
    <w:rsid w:val="00A0411A"/>
    <w:rsid w:val="00A14539"/>
    <w:rsid w:val="00A3101B"/>
    <w:rsid w:val="00A46731"/>
    <w:rsid w:val="00A8513F"/>
    <w:rsid w:val="00A95E02"/>
    <w:rsid w:val="00AA4670"/>
    <w:rsid w:val="00AB3C8F"/>
    <w:rsid w:val="00AB561B"/>
    <w:rsid w:val="00AC3D70"/>
    <w:rsid w:val="00B17D39"/>
    <w:rsid w:val="00B24FE8"/>
    <w:rsid w:val="00B37893"/>
    <w:rsid w:val="00B45E12"/>
    <w:rsid w:val="00B46F9A"/>
    <w:rsid w:val="00B67A57"/>
    <w:rsid w:val="00B737A3"/>
    <w:rsid w:val="00B76D02"/>
    <w:rsid w:val="00B9642D"/>
    <w:rsid w:val="00BF6899"/>
    <w:rsid w:val="00C0128E"/>
    <w:rsid w:val="00C04369"/>
    <w:rsid w:val="00C302AD"/>
    <w:rsid w:val="00C36E90"/>
    <w:rsid w:val="00C4468C"/>
    <w:rsid w:val="00C4570B"/>
    <w:rsid w:val="00C728E1"/>
    <w:rsid w:val="00C74DEE"/>
    <w:rsid w:val="00C8262D"/>
    <w:rsid w:val="00C9167C"/>
    <w:rsid w:val="00C9627A"/>
    <w:rsid w:val="00CA0669"/>
    <w:rsid w:val="00CB7A45"/>
    <w:rsid w:val="00CD619A"/>
    <w:rsid w:val="00D1002C"/>
    <w:rsid w:val="00DC777E"/>
    <w:rsid w:val="00DD05CE"/>
    <w:rsid w:val="00E54268"/>
    <w:rsid w:val="00EB7B59"/>
    <w:rsid w:val="00EC53DC"/>
    <w:rsid w:val="00EF03D3"/>
    <w:rsid w:val="00EF533C"/>
    <w:rsid w:val="00F4283D"/>
    <w:rsid w:val="00F4534D"/>
    <w:rsid w:val="00F80215"/>
    <w:rsid w:val="00F90DC5"/>
    <w:rsid w:val="00FA0D51"/>
    <w:rsid w:val="00FC26A3"/>
    <w:rsid w:val="00FC6A24"/>
    <w:rsid w:val="00FF1E81"/>
    <w:rsid w:val="00FF1F62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07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styleId="a4">
    <w:name w:val="Hyperlink"/>
    <w:basedOn w:val="a0"/>
    <w:uiPriority w:val="99"/>
    <w:unhideWhenUsed/>
    <w:rsid w:val="00C0436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4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F1F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1F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53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7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14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3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2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3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2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869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1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6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7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3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4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5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54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5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93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8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5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65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13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19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5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7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1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46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43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8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522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.cap.ru/action/activity/nadzor-i-kontrolj-v-sfere-obrazovaniya/gosudarstvennaya-akkreditaciya-obrazovateljnoj-dey" TargetMode="External"/><Relationship Id="rId3" Type="http://schemas.openxmlformats.org/officeDocument/2006/relationships/styles" Target="styles.xml"/><Relationship Id="rId7" Type="http://schemas.openxmlformats.org/officeDocument/2006/relationships/hyperlink" Target="http://obrazov.cap.ru/action/activity/nadzor-i-kontrolj-v-sfere-obrazovaniya/gosudarstvennaya-akkreditaciya-obrazovateljnoj-de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brazov.cap.ru/action/activity/nadzor-i-kontrolj-v-sfere-obrazovaniya/gosudarstvennaya-akkreditaciya-obrazovateljnoj-de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brazov.cap.ru/action/activity/nadzor-i-kontrolj-v-sfere-obrazovaniya/gosudarstvennaya-akkreditaciya-obrazovateljnoj-d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B9B1-33DA-4B25-A77E-01EAB4BE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obr-nadzor2</dc:creator>
  <cp:lastModifiedBy>Минобразования Петрова Ольга Владимировна</cp:lastModifiedBy>
  <cp:revision>19</cp:revision>
  <dcterms:created xsi:type="dcterms:W3CDTF">2019-03-25T12:54:00Z</dcterms:created>
  <dcterms:modified xsi:type="dcterms:W3CDTF">2019-03-28T07:33:00Z</dcterms:modified>
</cp:coreProperties>
</file>