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CB0217" w:rsidRPr="00052CB8" w:rsidRDefault="00052CB8" w:rsidP="00052CB8">
      <w:pPr>
        <w:tabs>
          <w:tab w:val="left" w:pos="9355"/>
        </w:tabs>
        <w:ind w:right="-5"/>
        <w:jc w:val="both"/>
        <w:rPr>
          <w:sz w:val="24"/>
          <w:szCs w:val="24"/>
        </w:rPr>
      </w:pPr>
      <w:r w:rsidRPr="00052CB8">
        <w:rPr>
          <w:sz w:val="24"/>
          <w:szCs w:val="24"/>
        </w:rPr>
        <w:t xml:space="preserve">- Автомобиль марка </w:t>
      </w:r>
      <w:r w:rsidRPr="00052CB8">
        <w:rPr>
          <w:sz w:val="24"/>
          <w:szCs w:val="24"/>
          <w:lang w:val="en-US"/>
        </w:rPr>
        <w:t>UAS</w:t>
      </w:r>
      <w:r w:rsidRPr="00052CB8">
        <w:rPr>
          <w:sz w:val="24"/>
          <w:szCs w:val="24"/>
        </w:rPr>
        <w:t xml:space="preserve"> </w:t>
      </w:r>
      <w:r w:rsidRPr="00052CB8">
        <w:rPr>
          <w:sz w:val="24"/>
          <w:szCs w:val="24"/>
          <w:lang w:val="en-US"/>
        </w:rPr>
        <w:t>PATRIOT</w:t>
      </w:r>
      <w:r w:rsidRPr="00052CB8">
        <w:rPr>
          <w:sz w:val="24"/>
          <w:szCs w:val="24"/>
        </w:rPr>
        <w:t>, идентификационный номер (</w:t>
      </w:r>
      <w:r w:rsidRPr="00052CB8">
        <w:rPr>
          <w:sz w:val="24"/>
          <w:szCs w:val="24"/>
          <w:lang w:val="en-US"/>
        </w:rPr>
        <w:t>VIN</w:t>
      </w:r>
      <w:r w:rsidRPr="00052CB8">
        <w:rPr>
          <w:sz w:val="24"/>
          <w:szCs w:val="24"/>
        </w:rPr>
        <w:t xml:space="preserve">) </w:t>
      </w:r>
      <w:r w:rsidRPr="00052CB8">
        <w:rPr>
          <w:sz w:val="24"/>
          <w:szCs w:val="24"/>
          <w:lang w:val="en-US"/>
        </w:rPr>
        <w:t>X</w:t>
      </w:r>
      <w:r w:rsidRPr="00052CB8">
        <w:rPr>
          <w:sz w:val="24"/>
          <w:szCs w:val="24"/>
        </w:rPr>
        <w:t xml:space="preserve">ТТ31630090006423, год выпуска 2009, модель, № двигателя 409040, 93008066, кузов № 31630090006423, шасси (рама) 31630090538557, цвет кузова – амулет - </w:t>
      </w:r>
      <w:proofErr w:type="spellStart"/>
      <w:r w:rsidRPr="00052CB8">
        <w:rPr>
          <w:sz w:val="24"/>
          <w:szCs w:val="24"/>
        </w:rPr>
        <w:t>металлик</w:t>
      </w:r>
      <w:proofErr w:type="spellEnd"/>
      <w:r w:rsidRPr="00052CB8">
        <w:rPr>
          <w:sz w:val="24"/>
          <w:szCs w:val="24"/>
        </w:rPr>
        <w:t xml:space="preserve">,    паспорт транспортного средства 73 МУ 439487.                                     </w:t>
      </w: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5C1AE4"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860 «Об организации и проведении продажи государственного или муниципального</w:t>
      </w:r>
      <w:proofErr w:type="gramEnd"/>
      <w:r w:rsidRPr="00052CB8">
        <w:rPr>
          <w:szCs w:val="24"/>
        </w:rPr>
        <w:t xml:space="preserve"> имущества в электронной форме» и распоряжением </w:t>
      </w:r>
      <w:r w:rsidR="00CF5857" w:rsidRPr="00052CB8">
        <w:rPr>
          <w:szCs w:val="24"/>
        </w:rPr>
        <w:t>администрации Порецкого района</w:t>
      </w:r>
      <w:r w:rsidR="00F55748" w:rsidRPr="00052CB8">
        <w:rPr>
          <w:szCs w:val="24"/>
        </w:rPr>
        <w:t xml:space="preserve"> от </w:t>
      </w:r>
      <w:r w:rsidR="005C1AE4" w:rsidRPr="005C1AE4">
        <w:rPr>
          <w:color w:val="000000" w:themeColor="text1"/>
          <w:szCs w:val="24"/>
        </w:rPr>
        <w:t>20</w:t>
      </w:r>
      <w:r w:rsidR="00096A03" w:rsidRPr="005C1AE4">
        <w:rPr>
          <w:color w:val="000000" w:themeColor="text1"/>
          <w:szCs w:val="24"/>
        </w:rPr>
        <w:t xml:space="preserve"> </w:t>
      </w:r>
      <w:r w:rsidR="005C1AE4" w:rsidRPr="005C1AE4">
        <w:rPr>
          <w:color w:val="000000" w:themeColor="text1"/>
          <w:szCs w:val="24"/>
        </w:rPr>
        <w:t>сентября</w:t>
      </w:r>
      <w:r w:rsidR="005F1A85" w:rsidRPr="005C1AE4">
        <w:rPr>
          <w:color w:val="000000" w:themeColor="text1"/>
          <w:szCs w:val="24"/>
        </w:rPr>
        <w:t xml:space="preserve"> </w:t>
      </w:r>
      <w:r w:rsidR="00304C1F" w:rsidRPr="005C1AE4">
        <w:rPr>
          <w:color w:val="000000" w:themeColor="text1"/>
          <w:szCs w:val="24"/>
        </w:rPr>
        <w:t>201</w:t>
      </w:r>
      <w:r w:rsidR="00096A03" w:rsidRPr="005C1AE4">
        <w:rPr>
          <w:color w:val="000000" w:themeColor="text1"/>
          <w:szCs w:val="24"/>
        </w:rPr>
        <w:t>9</w:t>
      </w:r>
      <w:r w:rsidR="00304C1F" w:rsidRPr="005C1AE4">
        <w:rPr>
          <w:color w:val="000000" w:themeColor="text1"/>
          <w:szCs w:val="24"/>
        </w:rPr>
        <w:t xml:space="preserve"> г.</w:t>
      </w:r>
      <w:r w:rsidR="00162A78" w:rsidRPr="005C1AE4">
        <w:rPr>
          <w:color w:val="000000" w:themeColor="text1"/>
          <w:szCs w:val="24"/>
        </w:rPr>
        <w:t xml:space="preserve">                   </w:t>
      </w:r>
      <w:r w:rsidRPr="005C1AE4">
        <w:rPr>
          <w:color w:val="000000" w:themeColor="text1"/>
          <w:szCs w:val="24"/>
        </w:rPr>
        <w:t xml:space="preserve"> № </w:t>
      </w:r>
      <w:r w:rsidR="00096A03" w:rsidRPr="005C1AE4">
        <w:rPr>
          <w:color w:val="000000" w:themeColor="text1"/>
          <w:szCs w:val="24"/>
        </w:rPr>
        <w:t>3</w:t>
      </w:r>
      <w:r w:rsidR="005C1AE4" w:rsidRPr="005C1AE4">
        <w:rPr>
          <w:color w:val="000000" w:themeColor="text1"/>
          <w:szCs w:val="24"/>
        </w:rPr>
        <w:t>83</w:t>
      </w:r>
      <w:r w:rsidR="006D48F7" w:rsidRPr="005C1AE4">
        <w:rPr>
          <w:color w:val="000000" w:themeColor="text1"/>
          <w:szCs w:val="24"/>
        </w:rPr>
        <w:t>-р</w:t>
      </w:r>
      <w:r w:rsidR="00304C1F" w:rsidRPr="005C1AE4">
        <w:rPr>
          <w:color w:val="000000" w:themeColor="text1"/>
          <w:szCs w:val="24"/>
        </w:rPr>
        <w:t>.</w:t>
      </w:r>
      <w:r w:rsidRPr="005C1AE4">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811CB4">
        <w:rPr>
          <w:rFonts w:ascii="Times New Roman" w:hAnsi="Times New Roman"/>
          <w:b/>
          <w:sz w:val="24"/>
          <w:szCs w:val="24"/>
        </w:rPr>
        <w:t>16 декабря</w:t>
      </w:r>
      <w:r w:rsidR="00096A03" w:rsidRPr="00ED08F5">
        <w:rPr>
          <w:rFonts w:ascii="Times New Roman" w:hAnsi="Times New Roman"/>
          <w:b/>
          <w:sz w:val="24"/>
          <w:szCs w:val="24"/>
        </w:rPr>
        <w:t xml:space="preserve"> 2019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096A03" w:rsidRPr="005C1AE4">
        <w:rPr>
          <w:color w:val="000000" w:themeColor="text1"/>
          <w:sz w:val="24"/>
          <w:szCs w:val="24"/>
        </w:rPr>
        <w:t>20</w:t>
      </w:r>
      <w:r w:rsidRPr="005C1AE4">
        <w:rPr>
          <w:color w:val="000000" w:themeColor="text1"/>
          <w:sz w:val="24"/>
          <w:szCs w:val="24"/>
        </w:rPr>
        <w:t>.</w:t>
      </w:r>
      <w:r w:rsidR="00156609" w:rsidRPr="005C1AE4">
        <w:rPr>
          <w:color w:val="000000" w:themeColor="text1"/>
          <w:sz w:val="24"/>
          <w:szCs w:val="24"/>
        </w:rPr>
        <w:t>0</w:t>
      </w:r>
      <w:r w:rsidR="005C1AE4" w:rsidRPr="005C1AE4">
        <w:rPr>
          <w:color w:val="000000" w:themeColor="text1"/>
          <w:sz w:val="24"/>
          <w:szCs w:val="24"/>
        </w:rPr>
        <w:t>9</w:t>
      </w:r>
      <w:r w:rsidRPr="005C1AE4">
        <w:rPr>
          <w:color w:val="000000" w:themeColor="text1"/>
          <w:sz w:val="24"/>
          <w:szCs w:val="24"/>
        </w:rPr>
        <w:t>.201</w:t>
      </w:r>
      <w:r w:rsidR="00156609" w:rsidRPr="005C1AE4">
        <w:rPr>
          <w:color w:val="000000" w:themeColor="text1"/>
          <w:sz w:val="24"/>
          <w:szCs w:val="24"/>
        </w:rPr>
        <w:t xml:space="preserve">9 </w:t>
      </w:r>
      <w:r w:rsidRPr="005C1AE4">
        <w:rPr>
          <w:color w:val="000000" w:themeColor="text1"/>
          <w:sz w:val="24"/>
          <w:szCs w:val="24"/>
        </w:rPr>
        <w:t xml:space="preserve">№ </w:t>
      </w:r>
      <w:r w:rsidR="005C1AE4" w:rsidRPr="005C1AE4">
        <w:rPr>
          <w:color w:val="000000" w:themeColor="text1"/>
          <w:sz w:val="24"/>
          <w:szCs w:val="24"/>
        </w:rPr>
        <w:t>383</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052CB8" w:rsidRDefault="00B309E1" w:rsidP="0020442E">
      <w:pPr>
        <w:tabs>
          <w:tab w:val="left" w:pos="9355"/>
        </w:tabs>
        <w:ind w:right="-5"/>
        <w:jc w:val="both"/>
        <w:rPr>
          <w:sz w:val="24"/>
          <w:szCs w:val="24"/>
        </w:rPr>
      </w:pPr>
      <w:r w:rsidRPr="00052CB8">
        <w:rPr>
          <w:sz w:val="24"/>
          <w:szCs w:val="24"/>
        </w:rPr>
        <w:t xml:space="preserve">           1.1. </w:t>
      </w:r>
      <w:r w:rsidR="00ED3D6A" w:rsidRPr="00ED3D6A">
        <w:rPr>
          <w:sz w:val="24"/>
          <w:szCs w:val="24"/>
        </w:rPr>
        <w:t xml:space="preserve">Автомобиль марка </w:t>
      </w:r>
      <w:r w:rsidR="00ED3D6A" w:rsidRPr="00ED3D6A">
        <w:rPr>
          <w:sz w:val="24"/>
          <w:szCs w:val="24"/>
          <w:lang w:val="en-US"/>
        </w:rPr>
        <w:t>UAS</w:t>
      </w:r>
      <w:r w:rsidR="00ED3D6A" w:rsidRPr="00ED3D6A">
        <w:rPr>
          <w:sz w:val="24"/>
          <w:szCs w:val="24"/>
        </w:rPr>
        <w:t xml:space="preserve"> </w:t>
      </w:r>
      <w:r w:rsidR="00ED3D6A" w:rsidRPr="00ED3D6A">
        <w:rPr>
          <w:sz w:val="24"/>
          <w:szCs w:val="24"/>
          <w:lang w:val="en-US"/>
        </w:rPr>
        <w:t>PATRIOT</w:t>
      </w:r>
      <w:r w:rsidR="00ED3D6A" w:rsidRPr="00ED3D6A">
        <w:rPr>
          <w:sz w:val="24"/>
          <w:szCs w:val="24"/>
        </w:rPr>
        <w:t>, идентификационный номер (</w:t>
      </w:r>
      <w:r w:rsidR="00ED3D6A" w:rsidRPr="00ED3D6A">
        <w:rPr>
          <w:sz w:val="24"/>
          <w:szCs w:val="24"/>
          <w:lang w:val="en-US"/>
        </w:rPr>
        <w:t>VIN</w:t>
      </w:r>
      <w:r w:rsidR="00ED3D6A" w:rsidRPr="00ED3D6A">
        <w:rPr>
          <w:sz w:val="24"/>
          <w:szCs w:val="24"/>
        </w:rPr>
        <w:t xml:space="preserve">) </w:t>
      </w:r>
      <w:r w:rsidR="00ED3D6A" w:rsidRPr="00ED3D6A">
        <w:rPr>
          <w:sz w:val="24"/>
          <w:szCs w:val="24"/>
          <w:lang w:val="en-US"/>
        </w:rPr>
        <w:t>X</w:t>
      </w:r>
      <w:r w:rsidR="00ED3D6A" w:rsidRPr="00ED3D6A">
        <w:rPr>
          <w:sz w:val="24"/>
          <w:szCs w:val="24"/>
        </w:rPr>
        <w:t xml:space="preserve">ТТ31630090006423, год выпуска 2009, модель, № двигателя 409040, 93008066, кузов № 31630090006423, шасси (рама) 31630090538557, цвет кузова – амулет - </w:t>
      </w:r>
      <w:proofErr w:type="spellStart"/>
      <w:r w:rsidR="00ED3D6A" w:rsidRPr="00ED3D6A">
        <w:rPr>
          <w:sz w:val="24"/>
          <w:szCs w:val="24"/>
        </w:rPr>
        <w:t>металлик</w:t>
      </w:r>
      <w:proofErr w:type="spellEnd"/>
      <w:r w:rsidR="00ED3D6A" w:rsidRPr="00ED3D6A">
        <w:rPr>
          <w:sz w:val="24"/>
          <w:szCs w:val="24"/>
        </w:rPr>
        <w:t>,    паспорт транспортного средства 73 МУ 439487.</w:t>
      </w:r>
      <w:r w:rsidR="00ED3D6A">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C83719">
        <w:rPr>
          <w:color w:val="000000"/>
          <w:sz w:val="24"/>
          <w:szCs w:val="24"/>
        </w:rPr>
        <w:t>318 841</w:t>
      </w:r>
      <w:r w:rsidR="004A7ECF" w:rsidRPr="00052CB8">
        <w:rPr>
          <w:color w:val="000000"/>
          <w:sz w:val="24"/>
          <w:szCs w:val="24"/>
        </w:rPr>
        <w:t xml:space="preserve"> </w:t>
      </w:r>
      <w:r w:rsidR="00AC70EE" w:rsidRPr="00052CB8">
        <w:rPr>
          <w:color w:val="000000"/>
          <w:sz w:val="24"/>
          <w:szCs w:val="24"/>
        </w:rPr>
        <w:t>(</w:t>
      </w:r>
      <w:r w:rsidR="00C83719">
        <w:rPr>
          <w:color w:val="000000"/>
          <w:sz w:val="24"/>
          <w:szCs w:val="24"/>
        </w:rPr>
        <w:t>Триста восемнадцать тысяч восемьсот сорок один</w:t>
      </w:r>
      <w:r w:rsidR="0091119E">
        <w:rPr>
          <w:color w:val="000000"/>
          <w:sz w:val="24"/>
          <w:szCs w:val="24"/>
        </w:rPr>
        <w:t xml:space="preserve">) руб. </w:t>
      </w:r>
      <w:r w:rsidR="00C83719">
        <w:rPr>
          <w:color w:val="000000"/>
          <w:sz w:val="24"/>
          <w:szCs w:val="24"/>
        </w:rPr>
        <w:t>69</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C83719">
        <w:rPr>
          <w:sz w:val="24"/>
          <w:szCs w:val="24"/>
        </w:rPr>
        <w:t xml:space="preserve">15 942 </w:t>
      </w:r>
      <w:r w:rsidR="00E130EC" w:rsidRPr="00052CB8">
        <w:rPr>
          <w:color w:val="000000"/>
          <w:sz w:val="24"/>
          <w:szCs w:val="24"/>
        </w:rPr>
        <w:t>(</w:t>
      </w:r>
      <w:r w:rsidR="00C83719">
        <w:rPr>
          <w:color w:val="000000"/>
          <w:sz w:val="24"/>
          <w:szCs w:val="24"/>
        </w:rPr>
        <w:t>Пятнадцать тысяч девятьсот сорок два</w:t>
      </w:r>
      <w:r w:rsidR="005A4A12">
        <w:rPr>
          <w:color w:val="000000"/>
          <w:sz w:val="24"/>
          <w:szCs w:val="24"/>
        </w:rPr>
        <w:t xml:space="preserve">) руб. </w:t>
      </w:r>
      <w:r w:rsidR="00C83719">
        <w:rPr>
          <w:color w:val="000000"/>
          <w:sz w:val="24"/>
          <w:szCs w:val="24"/>
        </w:rPr>
        <w:t>08</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C83719">
        <w:rPr>
          <w:sz w:val="24"/>
          <w:szCs w:val="24"/>
        </w:rPr>
        <w:t>63 768</w:t>
      </w:r>
      <w:r w:rsidRPr="00052CB8">
        <w:rPr>
          <w:color w:val="000000"/>
          <w:sz w:val="24"/>
          <w:szCs w:val="24"/>
        </w:rPr>
        <w:t xml:space="preserve"> (</w:t>
      </w:r>
      <w:r w:rsidR="00C83719">
        <w:rPr>
          <w:color w:val="000000"/>
          <w:sz w:val="24"/>
          <w:szCs w:val="24"/>
        </w:rPr>
        <w:t>Шестьдесят три тысячи семьсот шестьдесят восемь</w:t>
      </w:r>
      <w:r w:rsidR="005A4A12">
        <w:rPr>
          <w:color w:val="000000"/>
          <w:sz w:val="24"/>
          <w:szCs w:val="24"/>
        </w:rPr>
        <w:t xml:space="preserve">) руб. </w:t>
      </w:r>
      <w:r w:rsidR="00C83719">
        <w:rPr>
          <w:color w:val="000000"/>
          <w:sz w:val="24"/>
          <w:szCs w:val="24"/>
        </w:rPr>
        <w:t>34</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811CB4">
        <w:rPr>
          <w:sz w:val="24"/>
          <w:szCs w:val="24"/>
        </w:rPr>
        <w:t>16</w:t>
      </w:r>
      <w:r w:rsidR="005947AE" w:rsidRPr="00052CB8">
        <w:rPr>
          <w:sz w:val="24"/>
          <w:szCs w:val="24"/>
        </w:rPr>
        <w:t xml:space="preserve"> </w:t>
      </w:r>
      <w:r w:rsidR="00811CB4">
        <w:rPr>
          <w:sz w:val="24"/>
          <w:szCs w:val="24"/>
        </w:rPr>
        <w:t>ноября</w:t>
      </w:r>
      <w:r w:rsidRPr="00052CB8">
        <w:rPr>
          <w:sz w:val="24"/>
          <w:szCs w:val="24"/>
        </w:rPr>
        <w:t xml:space="preserve"> 201</w:t>
      </w:r>
      <w:r w:rsidR="00497B3E" w:rsidRPr="00052CB8">
        <w:rPr>
          <w:sz w:val="24"/>
          <w:szCs w:val="24"/>
        </w:rPr>
        <w:t>9</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811CB4">
        <w:rPr>
          <w:sz w:val="24"/>
          <w:szCs w:val="24"/>
        </w:rPr>
        <w:t>11</w:t>
      </w:r>
      <w:r w:rsidR="009E0B30" w:rsidRPr="00052CB8">
        <w:rPr>
          <w:sz w:val="24"/>
          <w:szCs w:val="24"/>
        </w:rPr>
        <w:t xml:space="preserve"> </w:t>
      </w:r>
      <w:r w:rsidR="00811CB4">
        <w:rPr>
          <w:sz w:val="24"/>
          <w:szCs w:val="24"/>
        </w:rPr>
        <w:t>декабря</w:t>
      </w:r>
      <w:r w:rsidR="00CE48B9">
        <w:rPr>
          <w:sz w:val="24"/>
          <w:szCs w:val="24"/>
        </w:rPr>
        <w:t xml:space="preserve"> </w:t>
      </w:r>
      <w:r w:rsidR="00304C1F" w:rsidRPr="00052CB8">
        <w:rPr>
          <w:sz w:val="24"/>
          <w:szCs w:val="24"/>
        </w:rPr>
        <w:t xml:space="preserve"> 201</w:t>
      </w:r>
      <w:r w:rsidR="009E0B30" w:rsidRPr="00052CB8">
        <w:rPr>
          <w:sz w:val="24"/>
          <w:szCs w:val="24"/>
        </w:rPr>
        <w:t>9</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811CB4">
        <w:rPr>
          <w:sz w:val="24"/>
          <w:szCs w:val="24"/>
        </w:rPr>
        <w:t>12</w:t>
      </w:r>
      <w:r w:rsidR="00304C1F" w:rsidRPr="00052CB8">
        <w:rPr>
          <w:sz w:val="24"/>
          <w:szCs w:val="24"/>
        </w:rPr>
        <w:t xml:space="preserve"> </w:t>
      </w:r>
      <w:r w:rsidR="00811CB4">
        <w:rPr>
          <w:sz w:val="24"/>
          <w:szCs w:val="24"/>
        </w:rPr>
        <w:t xml:space="preserve">декабря </w:t>
      </w:r>
      <w:r w:rsidR="00304C1F" w:rsidRPr="00052CB8">
        <w:rPr>
          <w:sz w:val="24"/>
          <w:szCs w:val="24"/>
        </w:rPr>
        <w:t>201</w:t>
      </w:r>
      <w:r w:rsidR="009E0B30" w:rsidRPr="00052CB8">
        <w:rPr>
          <w:sz w:val="24"/>
          <w:szCs w:val="24"/>
        </w:rPr>
        <w:t>9</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811CB4">
        <w:rPr>
          <w:sz w:val="24"/>
          <w:szCs w:val="24"/>
        </w:rPr>
        <w:t>16</w:t>
      </w:r>
      <w:r w:rsidR="00497B3E" w:rsidRPr="00052CB8">
        <w:rPr>
          <w:sz w:val="24"/>
          <w:szCs w:val="24"/>
        </w:rPr>
        <w:t xml:space="preserve"> </w:t>
      </w:r>
      <w:r w:rsidR="00811CB4">
        <w:rPr>
          <w:sz w:val="24"/>
          <w:szCs w:val="24"/>
        </w:rPr>
        <w:t>декабря</w:t>
      </w:r>
      <w:r w:rsidR="009E0B30" w:rsidRPr="00052CB8">
        <w:rPr>
          <w:sz w:val="24"/>
          <w:szCs w:val="24"/>
        </w:rPr>
        <w:t xml:space="preserve"> </w:t>
      </w:r>
      <w:r w:rsidRPr="00052CB8">
        <w:rPr>
          <w:sz w:val="24"/>
          <w:szCs w:val="24"/>
        </w:rPr>
        <w:t>201</w:t>
      </w:r>
      <w:r w:rsidR="009E0B30" w:rsidRPr="00052CB8">
        <w:rPr>
          <w:sz w:val="24"/>
          <w:szCs w:val="24"/>
        </w:rPr>
        <w:t>9</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xml:space="preserve">, на </w:t>
      </w:r>
      <w:r w:rsidRPr="00052CB8">
        <w:rPr>
          <w:sz w:val="24"/>
          <w:szCs w:val="24"/>
        </w:rPr>
        <w:lastRenderedPageBreak/>
        <w:t>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 xml:space="preserve">Документы, представляемые иностранными лицами, должны быть легализованы в </w:t>
      </w:r>
      <w:r w:rsidRPr="00052CB8">
        <w:rPr>
          <w:sz w:val="24"/>
          <w:szCs w:val="24"/>
        </w:rPr>
        <w:lastRenderedPageBreak/>
        <w:t>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lastRenderedPageBreak/>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E5699C">
        <w:rPr>
          <w:rFonts w:eastAsia="Calibri"/>
          <w:sz w:val="24"/>
          <w:szCs w:val="24"/>
        </w:rPr>
        <w:t>63 768</w:t>
      </w:r>
      <w:r w:rsidRPr="00052CB8">
        <w:rPr>
          <w:rFonts w:eastAsia="Calibri"/>
          <w:sz w:val="24"/>
          <w:szCs w:val="24"/>
        </w:rPr>
        <w:t xml:space="preserve"> </w:t>
      </w:r>
      <w:r w:rsidR="00E5699C">
        <w:rPr>
          <w:rFonts w:eastAsia="Calibri"/>
          <w:sz w:val="24"/>
          <w:szCs w:val="24"/>
        </w:rPr>
        <w:t>(Шестьдесят три тысячи семьсот шестьдесят восемь</w:t>
      </w:r>
      <w:r w:rsidRPr="00052CB8">
        <w:rPr>
          <w:rFonts w:eastAsia="Calibri"/>
          <w:sz w:val="24"/>
          <w:szCs w:val="24"/>
        </w:rPr>
        <w:t>) руб.</w:t>
      </w:r>
      <w:r w:rsidR="00CE48B9">
        <w:rPr>
          <w:rFonts w:eastAsia="Calibri"/>
          <w:sz w:val="24"/>
          <w:szCs w:val="24"/>
        </w:rPr>
        <w:t xml:space="preserve">, </w:t>
      </w:r>
      <w:r w:rsidR="00E5699C">
        <w:rPr>
          <w:rFonts w:eastAsia="Calibri"/>
          <w:sz w:val="24"/>
          <w:szCs w:val="24"/>
        </w:rPr>
        <w:t>34 копейки</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052CB8">
        <w:rPr>
          <w:b w:val="0"/>
          <w:sz w:val="24"/>
          <w:szCs w:val="24"/>
        </w:rPr>
        <w:lastRenderedPageBreak/>
        <w:t>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lastRenderedPageBreak/>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w:t>
      </w:r>
      <w:r w:rsidRPr="00052CB8">
        <w:rPr>
          <w:sz w:val="24"/>
          <w:szCs w:val="24"/>
        </w:rPr>
        <w:lastRenderedPageBreak/>
        <w:t>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0D" w:rsidRDefault="00761F0D">
      <w:r>
        <w:separator/>
      </w:r>
    </w:p>
  </w:endnote>
  <w:endnote w:type="continuationSeparator" w:id="0">
    <w:p w:rsidR="00761F0D" w:rsidRDefault="00761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0D" w:rsidRDefault="00761F0D">
      <w:r>
        <w:separator/>
      </w:r>
    </w:p>
  </w:footnote>
  <w:footnote w:type="continuationSeparator" w:id="0">
    <w:p w:rsidR="00761F0D" w:rsidRDefault="00761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8E50C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54F6">
      <w:rPr>
        <w:rStyle w:val="a8"/>
        <w:rFonts w:ascii="Times New Roman CYR" w:hAnsi="Times New Roman CYR"/>
      </w:rPr>
      <w:instrText xml:space="preserve">PAGE  </w:instrText>
    </w:r>
    <w:r>
      <w:rPr>
        <w:rStyle w:val="a8"/>
        <w:rFonts w:ascii="Times New Roman CYR" w:hAnsi="Times New Roman CYR"/>
      </w:rPr>
      <w:fldChar w:fldCharType="separate"/>
    </w:r>
    <w:r w:rsidR="00BD54F6">
      <w:rPr>
        <w:rStyle w:val="a8"/>
        <w:rFonts w:ascii="Times New Roman CYR" w:hAnsi="Times New Roman CYR"/>
        <w:noProof/>
      </w:rPr>
      <w:t>4</w:t>
    </w:r>
    <w:r>
      <w:rPr>
        <w:rStyle w:val="a8"/>
        <w:rFonts w:ascii="Times New Roman CYR" w:hAnsi="Times New Roman CYR"/>
      </w:rPr>
      <w:fldChar w:fldCharType="end"/>
    </w:r>
  </w:p>
  <w:p w:rsidR="00BD54F6" w:rsidRDefault="00BD54F6">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8E50C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54F6">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872D0">
      <w:rPr>
        <w:rStyle w:val="a8"/>
        <w:rFonts w:ascii="Times New Roman CYR" w:hAnsi="Times New Roman CYR"/>
        <w:noProof/>
        <w:sz w:val="24"/>
      </w:rPr>
      <w:t>2</w:t>
    </w:r>
    <w:r>
      <w:rPr>
        <w:rStyle w:val="a8"/>
        <w:rFonts w:ascii="Times New Roman CYR" w:hAnsi="Times New Roman CYR"/>
        <w:sz w:val="24"/>
      </w:rPr>
      <w:fldChar w:fldCharType="end"/>
    </w:r>
  </w:p>
  <w:p w:rsidR="00BD54F6" w:rsidRDefault="00BD54F6">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060C"/>
    <w:rsid w:val="0006677D"/>
    <w:rsid w:val="00070D8C"/>
    <w:rsid w:val="000718AA"/>
    <w:rsid w:val="00080154"/>
    <w:rsid w:val="00086AF5"/>
    <w:rsid w:val="000877D5"/>
    <w:rsid w:val="00096220"/>
    <w:rsid w:val="00096A03"/>
    <w:rsid w:val="000C21D1"/>
    <w:rsid w:val="000D550E"/>
    <w:rsid w:val="00100170"/>
    <w:rsid w:val="0012499F"/>
    <w:rsid w:val="00125F44"/>
    <w:rsid w:val="00126559"/>
    <w:rsid w:val="0014396A"/>
    <w:rsid w:val="0014665D"/>
    <w:rsid w:val="00156609"/>
    <w:rsid w:val="001573A4"/>
    <w:rsid w:val="00162A78"/>
    <w:rsid w:val="0018361A"/>
    <w:rsid w:val="00191C35"/>
    <w:rsid w:val="001C49E0"/>
    <w:rsid w:val="001D1076"/>
    <w:rsid w:val="001D2626"/>
    <w:rsid w:val="001F2359"/>
    <w:rsid w:val="001F258D"/>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82563"/>
    <w:rsid w:val="0038770D"/>
    <w:rsid w:val="003A0756"/>
    <w:rsid w:val="003B0175"/>
    <w:rsid w:val="003C29E4"/>
    <w:rsid w:val="003D5DC2"/>
    <w:rsid w:val="003E3587"/>
    <w:rsid w:val="003F0E0F"/>
    <w:rsid w:val="003F1E5A"/>
    <w:rsid w:val="003F4BE1"/>
    <w:rsid w:val="00402B83"/>
    <w:rsid w:val="00410727"/>
    <w:rsid w:val="00421744"/>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5102B1"/>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30289"/>
    <w:rsid w:val="00643D18"/>
    <w:rsid w:val="00653072"/>
    <w:rsid w:val="006605B8"/>
    <w:rsid w:val="00662319"/>
    <w:rsid w:val="00666FCA"/>
    <w:rsid w:val="00671E5F"/>
    <w:rsid w:val="006872D0"/>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1F0D"/>
    <w:rsid w:val="00765C93"/>
    <w:rsid w:val="00766C1A"/>
    <w:rsid w:val="007777DF"/>
    <w:rsid w:val="007E2B16"/>
    <w:rsid w:val="007E6027"/>
    <w:rsid w:val="0080771A"/>
    <w:rsid w:val="00811CB4"/>
    <w:rsid w:val="00826725"/>
    <w:rsid w:val="008344B2"/>
    <w:rsid w:val="00843541"/>
    <w:rsid w:val="008454D3"/>
    <w:rsid w:val="00857C3A"/>
    <w:rsid w:val="00857D52"/>
    <w:rsid w:val="00860F79"/>
    <w:rsid w:val="00863BAC"/>
    <w:rsid w:val="008812AE"/>
    <w:rsid w:val="008B73F0"/>
    <w:rsid w:val="008E50C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7870"/>
    <w:rsid w:val="00A274B5"/>
    <w:rsid w:val="00A42590"/>
    <w:rsid w:val="00A43A3B"/>
    <w:rsid w:val="00A46ECC"/>
    <w:rsid w:val="00A700DB"/>
    <w:rsid w:val="00A76698"/>
    <w:rsid w:val="00A94DAC"/>
    <w:rsid w:val="00A97125"/>
    <w:rsid w:val="00AA1A11"/>
    <w:rsid w:val="00AC70EE"/>
    <w:rsid w:val="00AC7EFD"/>
    <w:rsid w:val="00AD2BCF"/>
    <w:rsid w:val="00AD72E9"/>
    <w:rsid w:val="00B009AF"/>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55F84"/>
    <w:rsid w:val="00D6322B"/>
    <w:rsid w:val="00D7309A"/>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C6ABE"/>
    <w:rsid w:val="00ED08F5"/>
    <w:rsid w:val="00ED3D6A"/>
    <w:rsid w:val="00ED5A0B"/>
    <w:rsid w:val="00EE4D61"/>
    <w:rsid w:val="00F25C80"/>
    <w:rsid w:val="00F30540"/>
    <w:rsid w:val="00F35C3E"/>
    <w:rsid w:val="00F53EAC"/>
    <w:rsid w:val="00F55748"/>
    <w:rsid w:val="00F653AE"/>
    <w:rsid w:val="00F664E2"/>
    <w:rsid w:val="00F70448"/>
    <w:rsid w:val="00F920F8"/>
    <w:rsid w:val="00F93AD3"/>
    <w:rsid w:val="00FA62E2"/>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D21C-A35C-44E6-A69C-43237E21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7501</Words>
  <Characters>42759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4</cp:revision>
  <cp:lastPrinted>2017-03-28T11:42:00Z</cp:lastPrinted>
  <dcterms:created xsi:type="dcterms:W3CDTF">2019-11-15T07:12:00Z</dcterms:created>
  <dcterms:modified xsi:type="dcterms:W3CDTF">2019-11-15T07:37:00Z</dcterms:modified>
</cp:coreProperties>
</file>