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6" w:rsidRDefault="00695216" w:rsidP="0069521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Справка</w:t>
      </w:r>
    </w:p>
    <w:p w:rsidR="00695216" w:rsidRPr="009303BF" w:rsidRDefault="00695216" w:rsidP="006952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источнике </w:t>
      </w:r>
      <w:r w:rsidRPr="009303BF">
        <w:rPr>
          <w:rFonts w:ascii="Times New Roman" w:hAnsi="Times New Roman"/>
          <w:sz w:val="28"/>
          <w:szCs w:val="28"/>
        </w:rPr>
        <w:t xml:space="preserve">официального опубликования (обнародования) </w:t>
      </w:r>
    </w:p>
    <w:p w:rsidR="00695216" w:rsidRPr="009303BF" w:rsidRDefault="00695216" w:rsidP="00695216">
      <w:pPr>
        <w:jc w:val="center"/>
        <w:rPr>
          <w:rFonts w:ascii="Times New Roman" w:hAnsi="Times New Roman"/>
          <w:sz w:val="28"/>
          <w:szCs w:val="28"/>
        </w:rPr>
      </w:pPr>
      <w:r w:rsidRPr="009303BF">
        <w:rPr>
          <w:rFonts w:ascii="Times New Roman" w:hAnsi="Times New Roman"/>
          <w:sz w:val="28"/>
          <w:szCs w:val="28"/>
        </w:rPr>
        <w:t>муниципального нормативно-правового акта</w:t>
      </w:r>
    </w:p>
    <w:p w:rsidR="00695216" w:rsidRPr="009303BF" w:rsidRDefault="00695216" w:rsidP="00695216">
      <w:pPr>
        <w:jc w:val="center"/>
        <w:rPr>
          <w:rFonts w:ascii="Times New Roman" w:hAnsi="Times New Roman"/>
          <w:sz w:val="28"/>
          <w:szCs w:val="28"/>
        </w:rPr>
      </w:pPr>
    </w:p>
    <w:p w:rsidR="00695216" w:rsidRPr="009303BF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Pr="009303BF" w:rsidRDefault="00695216" w:rsidP="00695216">
      <w:pPr>
        <w:pStyle w:val="a3"/>
        <w:tabs>
          <w:tab w:val="clear" w:pos="4677"/>
          <w:tab w:val="left" w:pos="708"/>
          <w:tab w:val="center" w:pos="5670"/>
        </w:tabs>
        <w:ind w:right="-144"/>
        <w:jc w:val="both"/>
        <w:rPr>
          <w:sz w:val="28"/>
          <w:szCs w:val="28"/>
        </w:rPr>
      </w:pPr>
      <w:r w:rsidRPr="009303BF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Янтиковского района от 30</w:t>
      </w:r>
      <w:r w:rsidRPr="009303BF">
        <w:rPr>
          <w:sz w:val="28"/>
          <w:szCs w:val="28"/>
        </w:rPr>
        <w:t xml:space="preserve">.10.2019 № </w:t>
      </w:r>
      <w:r>
        <w:rPr>
          <w:sz w:val="28"/>
          <w:szCs w:val="28"/>
        </w:rPr>
        <w:t>557</w:t>
      </w:r>
      <w:r w:rsidRPr="009303BF">
        <w:rPr>
          <w:sz w:val="28"/>
          <w:szCs w:val="28"/>
        </w:rPr>
        <w:t xml:space="preserve"> «</w:t>
      </w:r>
      <w:r w:rsidRPr="00ED27BF">
        <w:rPr>
          <w:sz w:val="28"/>
          <w:szCs w:val="28"/>
        </w:rPr>
        <w:t>О внесении изменений в Правила определения цены земельных участков, находящихся в муниципальной собственности Янтиковского района Чувашской Республики, при заключении договоров купли-продажи таких земельных участков без проведения торгов</w:t>
      </w:r>
      <w:r w:rsidRPr="009303BF">
        <w:rPr>
          <w:sz w:val="28"/>
          <w:szCs w:val="28"/>
        </w:rPr>
        <w:t>»</w:t>
      </w:r>
    </w:p>
    <w:p w:rsidR="00695216" w:rsidRPr="009303BF" w:rsidRDefault="00695216" w:rsidP="0069521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32"/>
      </w:tblGrid>
      <w:tr w:rsidR="00695216" w:rsidRPr="009303BF" w:rsidTr="00CF71F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CF71F0">
            <w:pPr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CF71F0">
            <w:pPr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Информационное издание «Вестник Янтиковского района»</w:t>
            </w:r>
          </w:p>
        </w:tc>
      </w:tr>
      <w:tr w:rsidR="00695216" w:rsidRPr="009303BF" w:rsidTr="00CF71F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CF71F0">
            <w:pPr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Дата издания (обнародования)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695216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 w:rsidRPr="009303BF">
              <w:rPr>
                <w:sz w:val="28"/>
                <w:szCs w:val="28"/>
              </w:rPr>
              <w:t>.10</w:t>
            </w: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</w:tr>
      <w:tr w:rsidR="00695216" w:rsidRPr="009303BF" w:rsidTr="00CF71F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CF71F0">
            <w:pPr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Номер выпуска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695216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695216" w:rsidRPr="009303BF" w:rsidTr="00CF71F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16" w:rsidRPr="009303BF" w:rsidRDefault="00695216" w:rsidP="00CF71F0">
            <w:pPr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3BF">
              <w:rPr>
                <w:rFonts w:ascii="Times New Roman" w:hAnsi="Times New Roman"/>
                <w:sz w:val="28"/>
                <w:szCs w:val="28"/>
                <w:lang w:eastAsia="en-US"/>
              </w:rPr>
              <w:t>Номер статьи (номер страницы при отсутствии номера статьи с которой начинается текст муниципального нормативного правового акта)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6" w:rsidRPr="009303BF" w:rsidRDefault="00695216" w:rsidP="00CF71F0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95216" w:rsidRPr="009303BF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Янтиковского района                   </w:t>
      </w:r>
      <w: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В.А. Ванерке</w:t>
      </w: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</w:p>
    <w:p w:rsidR="00695216" w:rsidRDefault="00695216" w:rsidP="00695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>
        <w:t>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t>октября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p w:rsidR="00695216" w:rsidRDefault="00695216"/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213799" w:rsidRPr="00213799" w:rsidTr="00960D6D">
        <w:trPr>
          <w:cantSplit/>
          <w:trHeight w:val="612"/>
        </w:trPr>
        <w:tc>
          <w:tcPr>
            <w:tcW w:w="4149" w:type="dxa"/>
          </w:tcPr>
          <w:p w:rsidR="00213799" w:rsidRPr="00213799" w:rsidRDefault="00213799" w:rsidP="0021379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rFonts w:ascii="Courier New" w:hAnsi="Courier New" w:cs="Courier New"/>
                <w:noProof/>
                <w:sz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3BA4170" wp14:editId="5B6D449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3799" w:rsidRPr="00213799" w:rsidRDefault="00213799" w:rsidP="0021379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ЧĂВАШ РЕСПУБЛИКИ</w:t>
            </w:r>
          </w:p>
          <w:p w:rsidR="00213799" w:rsidRPr="00213799" w:rsidRDefault="00213799" w:rsidP="00213799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</w:rPr>
            </w:pPr>
          </w:p>
        </w:tc>
        <w:tc>
          <w:tcPr>
            <w:tcW w:w="991" w:type="dxa"/>
            <w:vMerge w:val="restart"/>
          </w:tcPr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146" w:type="dxa"/>
          </w:tcPr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</w:pP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en-US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szCs w:val="24"/>
              </w:rPr>
              <w:t>ЧУВАШСКАЯ РЕСПУБЛИКА</w:t>
            </w:r>
          </w:p>
          <w:p w:rsidR="00213799" w:rsidRPr="00213799" w:rsidRDefault="00213799" w:rsidP="0021379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3799" w:rsidRPr="00213799" w:rsidTr="00960D6D">
        <w:trPr>
          <w:cantSplit/>
          <w:trHeight w:val="2355"/>
        </w:trPr>
        <w:tc>
          <w:tcPr>
            <w:tcW w:w="4149" w:type="dxa"/>
          </w:tcPr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ТĂВАЙ РАЙОН</w:t>
            </w: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АДМИНИСТРАЦИЙĔ</w:t>
            </w: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Courier New"/>
                <w:b/>
                <w:bCs/>
                <w:color w:val="000000"/>
                <w:szCs w:val="24"/>
              </w:rPr>
            </w:pP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13799" w:rsidRPr="00213799" w:rsidRDefault="001811FB" w:rsidP="00213799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811FB">
              <w:rPr>
                <w:rFonts w:ascii="Times New Roman" w:hAnsi="Times New Roman"/>
                <w:noProof/>
                <w:color w:val="000000"/>
                <w:sz w:val="28"/>
                <w:szCs w:val="28"/>
                <w:u w:val="single"/>
              </w:rPr>
              <w:t>30.10.</w:t>
            </w:r>
            <w:r w:rsidR="00213799" w:rsidRPr="001811FB">
              <w:rPr>
                <w:rFonts w:ascii="Times New Roman" w:hAnsi="Times New Roman"/>
                <w:noProof/>
                <w:color w:val="000000"/>
                <w:sz w:val="28"/>
                <w:szCs w:val="28"/>
                <w:u w:val="single"/>
              </w:rPr>
              <w:t>2019</w:t>
            </w:r>
            <w:r w:rsidR="00213799" w:rsidRPr="0021379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№ </w:t>
            </w:r>
            <w:r w:rsidRPr="001811FB">
              <w:rPr>
                <w:rFonts w:ascii="Times New Roman" w:hAnsi="Times New Roman"/>
                <w:noProof/>
                <w:color w:val="000000"/>
                <w:sz w:val="28"/>
                <w:szCs w:val="28"/>
                <w:u w:val="single"/>
              </w:rPr>
              <w:t>557</w:t>
            </w:r>
          </w:p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1379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Тǎвай ялě</w:t>
            </w:r>
          </w:p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991" w:type="dxa"/>
            <w:vMerge/>
          </w:tcPr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146" w:type="dxa"/>
          </w:tcPr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ЯНТИКОВСКОГО РАЙОНА</w:t>
            </w: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</w:p>
          <w:p w:rsidR="00213799" w:rsidRPr="00213799" w:rsidRDefault="00213799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213799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13799" w:rsidRPr="00213799" w:rsidRDefault="001811FB" w:rsidP="00213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1F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30.10.</w:t>
            </w:r>
            <w:r w:rsidR="00213799" w:rsidRPr="001811F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2019</w:t>
            </w:r>
            <w:r w:rsidR="00213799" w:rsidRPr="00213799">
              <w:rPr>
                <w:rFonts w:ascii="Times New Roman" w:hAnsi="Times New Roman"/>
                <w:noProof/>
                <w:sz w:val="28"/>
                <w:szCs w:val="28"/>
              </w:rPr>
              <w:t xml:space="preserve"> № </w:t>
            </w:r>
            <w:r w:rsidRPr="001811FB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557</w:t>
            </w:r>
          </w:p>
          <w:p w:rsidR="00213799" w:rsidRPr="00213799" w:rsidRDefault="00213799" w:rsidP="0021379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13799">
              <w:rPr>
                <w:rFonts w:ascii="Times New Roman" w:hAnsi="Times New Roman"/>
                <w:noProof/>
                <w:sz w:val="28"/>
                <w:szCs w:val="28"/>
              </w:rPr>
              <w:t>село Янтиково</w:t>
            </w:r>
          </w:p>
        </w:tc>
      </w:tr>
    </w:tbl>
    <w:p w:rsidR="00ED27BF" w:rsidRPr="00ED27BF" w:rsidRDefault="00ED27BF" w:rsidP="00213799">
      <w:pPr>
        <w:pStyle w:val="a3"/>
        <w:tabs>
          <w:tab w:val="clear" w:pos="4677"/>
          <w:tab w:val="left" w:pos="708"/>
          <w:tab w:val="center" w:pos="5670"/>
        </w:tabs>
        <w:ind w:right="4108"/>
        <w:jc w:val="both"/>
        <w:rPr>
          <w:sz w:val="28"/>
          <w:szCs w:val="28"/>
        </w:rPr>
      </w:pPr>
      <w:r w:rsidRPr="00ED27BF">
        <w:rPr>
          <w:sz w:val="28"/>
          <w:szCs w:val="28"/>
        </w:rPr>
        <w:t>О внесении изменений в Правила определения цены земельных участков, находящихся в муниципальной собственности Янтиковского района Чувашской Республики, при заключении договоров купли-продажи таких земельных участков без проведения торгов</w:t>
      </w:r>
    </w:p>
    <w:p w:rsidR="00571863" w:rsidRPr="00ED27BF" w:rsidRDefault="00571863" w:rsidP="00213799">
      <w:pPr>
        <w:pStyle w:val="a3"/>
        <w:tabs>
          <w:tab w:val="left" w:pos="708"/>
        </w:tabs>
        <w:rPr>
          <w:sz w:val="28"/>
          <w:szCs w:val="28"/>
        </w:rPr>
      </w:pPr>
    </w:p>
    <w:p w:rsidR="00213799" w:rsidRDefault="00213799" w:rsidP="0021379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0D39" w:rsidRPr="00ED27BF" w:rsidRDefault="005F5386" w:rsidP="008303E7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D27BF">
        <w:rPr>
          <w:rFonts w:ascii="Times New Roman" w:hAnsi="Times New Roman"/>
          <w:sz w:val="28"/>
          <w:szCs w:val="28"/>
        </w:rPr>
        <w:t>А</w:t>
      </w:r>
      <w:r w:rsidR="00680D39" w:rsidRPr="00ED27BF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="00680D39" w:rsidRPr="00ED27B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680D39" w:rsidRPr="00ED27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80D39" w:rsidRPr="00ED27BF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 w:rsidR="00110C48" w:rsidRPr="00ED27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0D39" w:rsidRPr="00ED27BF">
        <w:rPr>
          <w:rFonts w:ascii="Times New Roman" w:hAnsi="Times New Roman"/>
          <w:b/>
          <w:bCs/>
          <w:sz w:val="28"/>
          <w:szCs w:val="28"/>
        </w:rPr>
        <w:t>т:</w:t>
      </w:r>
    </w:p>
    <w:p w:rsidR="0069062A" w:rsidRDefault="00ED27BF" w:rsidP="00ED27BF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E04F6" w:rsidRPr="00ED27BF">
        <w:rPr>
          <w:rFonts w:ascii="Times New Roman" w:hAnsi="Times New Roman"/>
          <w:bCs/>
          <w:sz w:val="28"/>
          <w:szCs w:val="28"/>
        </w:rPr>
        <w:t>нести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27BF">
        <w:rPr>
          <w:rFonts w:ascii="Times New Roman" w:hAnsi="Times New Roman"/>
          <w:bCs/>
          <w:sz w:val="28"/>
          <w:szCs w:val="28"/>
        </w:rPr>
        <w:t>Правила определения цены земельных участков, находящихся в муниципальной собственности Янтиковского района Чувашской Республики, при заключении договоров купли-продажи таких земельных участков без проведения торгов</w:t>
      </w:r>
      <w:r>
        <w:rPr>
          <w:rFonts w:ascii="Times New Roman" w:hAnsi="Times New Roman"/>
          <w:bCs/>
          <w:sz w:val="28"/>
          <w:szCs w:val="28"/>
        </w:rPr>
        <w:t>, утвержденные</w:t>
      </w:r>
      <w:r w:rsidR="00262D68" w:rsidRPr="00ED27BF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262D68" w:rsidRPr="00ED27BF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E63609" w:rsidRPr="00ED27BF">
        <w:rPr>
          <w:rFonts w:ascii="Times New Roman" w:hAnsi="Times New Roman"/>
          <w:bCs/>
          <w:sz w:val="28"/>
          <w:szCs w:val="28"/>
        </w:rPr>
        <w:t>Янтиковского района</w:t>
      </w:r>
      <w:r w:rsidR="00E63609" w:rsidRPr="00ED27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62A" w:rsidRPr="00ED27BF">
        <w:rPr>
          <w:rFonts w:ascii="Times New Roman" w:hAnsi="Times New Roman"/>
          <w:sz w:val="28"/>
          <w:szCs w:val="28"/>
        </w:rPr>
        <w:t xml:space="preserve">от 21.04.2015 № 160 </w:t>
      </w:r>
      <w:r w:rsidR="0069062A" w:rsidRPr="00ED27BF">
        <w:rPr>
          <w:rFonts w:ascii="Times New Roman" w:hAnsi="Times New Roman"/>
          <w:bCs/>
          <w:sz w:val="28"/>
          <w:szCs w:val="28"/>
        </w:rPr>
        <w:t>«</w:t>
      </w:r>
      <w:r w:rsidR="0069062A" w:rsidRPr="00ED27BF">
        <w:rPr>
          <w:rFonts w:ascii="Times New Roman" w:hAnsi="Times New Roman"/>
          <w:sz w:val="28"/>
          <w:szCs w:val="28"/>
        </w:rPr>
        <w:t>Об утверждении Правил определения цены земельных участков, находящихся в муниципальной собственности Янтиковского района Чувашской Республики, при заключении договоров купли-продажи таких земельных участков без проведения торгов</w:t>
      </w:r>
      <w:r w:rsidR="0069062A" w:rsidRPr="00ED27B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262D68" w:rsidRPr="00ED27BF">
        <w:rPr>
          <w:rFonts w:ascii="Times New Roman" w:hAnsi="Times New Roman"/>
          <w:bCs/>
          <w:sz w:val="28"/>
          <w:szCs w:val="28"/>
        </w:rPr>
        <w:t xml:space="preserve"> </w:t>
      </w:r>
      <w:r w:rsidR="0069062A" w:rsidRPr="00ED27BF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62D68" w:rsidRPr="00ED27BF">
        <w:rPr>
          <w:rFonts w:ascii="Times New Roman" w:hAnsi="Times New Roman"/>
          <w:bCs/>
          <w:sz w:val="28"/>
          <w:szCs w:val="28"/>
        </w:rPr>
        <w:t>изменени</w:t>
      </w:r>
      <w:r w:rsidR="0069062A" w:rsidRPr="00ED27BF">
        <w:rPr>
          <w:rFonts w:ascii="Times New Roman" w:hAnsi="Times New Roman"/>
          <w:bCs/>
          <w:sz w:val="28"/>
          <w:szCs w:val="28"/>
        </w:rPr>
        <w:t>я:</w:t>
      </w:r>
    </w:p>
    <w:p w:rsidR="00ED27BF" w:rsidRDefault="00ED27BF" w:rsidP="00ED27BF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пункте 2 слова «</w:t>
      </w:r>
      <w:r w:rsidRPr="00ED27BF">
        <w:rPr>
          <w:rFonts w:ascii="Times New Roman" w:hAnsi="Times New Roman"/>
          <w:bCs/>
          <w:sz w:val="28"/>
          <w:szCs w:val="28"/>
        </w:rPr>
        <w:t>предусмотренных пунктом 3 настоящих Прави</w:t>
      </w:r>
      <w:r>
        <w:rPr>
          <w:rFonts w:ascii="Times New Roman" w:hAnsi="Times New Roman"/>
          <w:bCs/>
          <w:sz w:val="28"/>
          <w:szCs w:val="28"/>
        </w:rPr>
        <w:t>л» заменить словами «предусмотренных пунктами 3, 4 настоящих Правил»;</w:t>
      </w:r>
    </w:p>
    <w:p w:rsidR="00ED27BF" w:rsidRDefault="00ED27BF" w:rsidP="00ED27BF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дополнить пунктом 4 следующего содержания:</w:t>
      </w:r>
    </w:p>
    <w:p w:rsidR="00ED27BF" w:rsidRPr="00ED27BF" w:rsidRDefault="00ED27BF" w:rsidP="00ED27BF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D27B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ED27BF">
        <w:rPr>
          <w:rFonts w:ascii="Times New Roman" w:hAnsi="Times New Roman"/>
          <w:bCs/>
          <w:sz w:val="28"/>
          <w:szCs w:val="28"/>
        </w:rPr>
        <w:t xml:space="preserve">Цена земельных </w:t>
      </w:r>
      <w:r>
        <w:rPr>
          <w:rFonts w:ascii="Times New Roman" w:hAnsi="Times New Roman"/>
          <w:bCs/>
          <w:sz w:val="28"/>
          <w:szCs w:val="28"/>
        </w:rPr>
        <w:t>участков устанавливается</w:t>
      </w:r>
      <w:r w:rsidRPr="00ED27BF">
        <w:rPr>
          <w:rFonts w:ascii="Times New Roman" w:hAnsi="Times New Roman"/>
          <w:bCs/>
          <w:sz w:val="28"/>
          <w:szCs w:val="28"/>
        </w:rPr>
        <w:t xml:space="preserve"> в размере 15 процентов</w:t>
      </w:r>
      <w:r w:rsidR="00114182">
        <w:rPr>
          <w:rFonts w:ascii="Times New Roman" w:hAnsi="Times New Roman"/>
          <w:bCs/>
          <w:sz w:val="28"/>
          <w:szCs w:val="28"/>
        </w:rPr>
        <w:t xml:space="preserve"> кадастровой стоимости земельного участка в случаях приобретения</w:t>
      </w:r>
      <w:r w:rsidRPr="00ED27BF">
        <w:rPr>
          <w:rFonts w:ascii="Times New Roman" w:hAnsi="Times New Roman"/>
          <w:bCs/>
          <w:sz w:val="28"/>
          <w:szCs w:val="28"/>
        </w:rPr>
        <w:t xml:space="preserve"> </w:t>
      </w:r>
      <w:r w:rsidRPr="00ED27BF">
        <w:rPr>
          <w:rFonts w:ascii="Times New Roman" w:hAnsi="Times New Roman"/>
          <w:sz w:val="28"/>
          <w:szCs w:val="28"/>
        </w:rPr>
        <w:t>резидент</w:t>
      </w:r>
      <w:r w:rsidR="00114182">
        <w:rPr>
          <w:rFonts w:ascii="Times New Roman" w:hAnsi="Times New Roman"/>
          <w:sz w:val="28"/>
          <w:szCs w:val="28"/>
        </w:rPr>
        <w:t>ами</w:t>
      </w:r>
      <w:r w:rsidRPr="00ED27BF">
        <w:rPr>
          <w:rFonts w:ascii="Times New Roman" w:hAnsi="Times New Roman"/>
          <w:sz w:val="28"/>
          <w:szCs w:val="28"/>
        </w:rPr>
        <w:t xml:space="preserve"> индустриальных (промышленных) парков, </w:t>
      </w:r>
      <w:r w:rsidRPr="00ED27BF">
        <w:rPr>
          <w:rFonts w:ascii="Times New Roman" w:hAnsi="Times New Roman"/>
          <w:sz w:val="28"/>
          <w:szCs w:val="28"/>
        </w:rPr>
        <w:lastRenderedPageBreak/>
        <w:t>резидент</w:t>
      </w:r>
      <w:r w:rsidR="00114182">
        <w:rPr>
          <w:rFonts w:ascii="Times New Roman" w:hAnsi="Times New Roman"/>
          <w:sz w:val="28"/>
          <w:szCs w:val="28"/>
        </w:rPr>
        <w:t>ами</w:t>
      </w:r>
      <w:r w:rsidRPr="00ED27BF">
        <w:rPr>
          <w:rFonts w:ascii="Times New Roman" w:hAnsi="Times New Roman"/>
          <w:sz w:val="28"/>
          <w:szCs w:val="28"/>
        </w:rPr>
        <w:t xml:space="preserve"> территорий опережающего социально-экономического развития, создаваемых на территориях </w:t>
      </w:r>
      <w:proofErr w:type="spellStart"/>
      <w:r w:rsidRPr="00ED27BF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D27BF">
        <w:rPr>
          <w:rFonts w:ascii="Times New Roman" w:hAnsi="Times New Roman"/>
          <w:sz w:val="28"/>
          <w:szCs w:val="28"/>
        </w:rPr>
        <w:t xml:space="preserve"> муниципальных образований Российской Федерации (моногородов), инвестор</w:t>
      </w:r>
      <w:r w:rsidR="00114182">
        <w:rPr>
          <w:rFonts w:ascii="Times New Roman" w:hAnsi="Times New Roman"/>
          <w:sz w:val="28"/>
          <w:szCs w:val="28"/>
        </w:rPr>
        <w:t>ами</w:t>
      </w:r>
      <w:r w:rsidRPr="00ED27BF">
        <w:rPr>
          <w:rFonts w:ascii="Times New Roman" w:hAnsi="Times New Roman"/>
          <w:sz w:val="28"/>
          <w:szCs w:val="28"/>
        </w:rPr>
        <w:t xml:space="preserve"> масштабных инвестиционных проектов, являющи</w:t>
      </w:r>
      <w:r w:rsidR="00114182">
        <w:rPr>
          <w:rFonts w:ascii="Times New Roman" w:hAnsi="Times New Roman"/>
          <w:sz w:val="28"/>
          <w:szCs w:val="28"/>
        </w:rPr>
        <w:t>ми</w:t>
      </w:r>
      <w:r w:rsidRPr="00ED27BF">
        <w:rPr>
          <w:rFonts w:ascii="Times New Roman" w:hAnsi="Times New Roman"/>
          <w:sz w:val="28"/>
          <w:szCs w:val="28"/>
        </w:rPr>
        <w:t xml:space="preserve">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создаваемых на территориях </w:t>
      </w:r>
      <w:proofErr w:type="spellStart"/>
      <w:r w:rsidRPr="00ED27BF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D27BF">
        <w:rPr>
          <w:rFonts w:ascii="Times New Roman" w:hAnsi="Times New Roman"/>
          <w:sz w:val="28"/>
          <w:szCs w:val="28"/>
        </w:rPr>
        <w:t xml:space="preserve"> муниципальных</w:t>
      </w:r>
      <w:proofErr w:type="gramEnd"/>
      <w:r w:rsidRPr="00ED27BF">
        <w:rPr>
          <w:rFonts w:ascii="Times New Roman" w:hAnsi="Times New Roman"/>
          <w:sz w:val="28"/>
          <w:szCs w:val="28"/>
        </w:rPr>
        <w:t xml:space="preserve"> образований Российской Федерации (моногородов), реализации масштабных инвестиционных проектов</w:t>
      </w:r>
      <w:proofErr w:type="gramStart"/>
      <w:r w:rsidRPr="00ED27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92CF9" w:rsidRPr="00ED27BF" w:rsidRDefault="00114182" w:rsidP="00114182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FB73EB" w:rsidRPr="00ED27BF">
        <w:rPr>
          <w:rFonts w:ascii="Times New Roman" w:hAnsi="Times New Roman"/>
          <w:sz w:val="28"/>
          <w:szCs w:val="28"/>
        </w:rPr>
        <w:t>.</w:t>
      </w:r>
      <w:r w:rsidR="00DF7721" w:rsidRPr="00ED27BF">
        <w:rPr>
          <w:rFonts w:ascii="Times New Roman" w:hAnsi="Times New Roman"/>
          <w:sz w:val="28"/>
          <w:szCs w:val="28"/>
        </w:rPr>
        <w:t xml:space="preserve"> </w:t>
      </w:r>
    </w:p>
    <w:p w:rsidR="00680D39" w:rsidRPr="00ED27BF" w:rsidRDefault="00680D39" w:rsidP="00E65F36">
      <w:pPr>
        <w:rPr>
          <w:rFonts w:ascii="Times New Roman" w:hAnsi="Times New Roman"/>
          <w:sz w:val="28"/>
          <w:szCs w:val="28"/>
        </w:rPr>
      </w:pPr>
    </w:p>
    <w:p w:rsidR="00680D39" w:rsidRPr="00ED27BF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80D39" w:rsidRPr="00ED27BF" w:rsidRDefault="00680D39" w:rsidP="00CE0093">
      <w:pPr>
        <w:rPr>
          <w:rFonts w:ascii="Times New Roman" w:hAnsi="Times New Roman"/>
          <w:sz w:val="28"/>
          <w:szCs w:val="28"/>
        </w:rPr>
      </w:pPr>
      <w:r w:rsidRPr="00ED27BF">
        <w:rPr>
          <w:rFonts w:ascii="Times New Roman" w:hAnsi="Times New Roman"/>
          <w:sz w:val="28"/>
          <w:szCs w:val="28"/>
        </w:rPr>
        <w:t>Глава администрации</w:t>
      </w:r>
    </w:p>
    <w:p w:rsidR="006A6FDB" w:rsidRPr="00ED27BF" w:rsidRDefault="00680D39" w:rsidP="00CE0093">
      <w:pPr>
        <w:jc w:val="both"/>
        <w:rPr>
          <w:rFonts w:ascii="Times New Roman" w:hAnsi="Times New Roman"/>
          <w:sz w:val="28"/>
          <w:szCs w:val="28"/>
        </w:rPr>
      </w:pPr>
      <w:r w:rsidRPr="00ED27BF">
        <w:rPr>
          <w:rFonts w:ascii="Times New Roman" w:hAnsi="Times New Roman"/>
          <w:sz w:val="28"/>
          <w:szCs w:val="28"/>
        </w:rPr>
        <w:t xml:space="preserve">Янтиковского района                             </w:t>
      </w:r>
      <w:r w:rsidR="00330B38" w:rsidRPr="00ED27BF">
        <w:rPr>
          <w:rFonts w:ascii="Times New Roman" w:hAnsi="Times New Roman"/>
          <w:sz w:val="28"/>
          <w:szCs w:val="28"/>
        </w:rPr>
        <w:t xml:space="preserve">     </w:t>
      </w:r>
      <w:r w:rsidRPr="00ED27B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30B38" w:rsidRPr="00ED27BF">
        <w:rPr>
          <w:rFonts w:ascii="Times New Roman" w:hAnsi="Times New Roman"/>
          <w:sz w:val="28"/>
          <w:szCs w:val="28"/>
        </w:rPr>
        <w:t>В.А. Ванерке</w:t>
      </w:r>
    </w:p>
    <w:sectPr w:rsidR="006A6FDB" w:rsidRPr="00ED27BF" w:rsidSect="002137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20206030504050203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ABE"/>
    <w:multiLevelType w:val="hybridMultilevel"/>
    <w:tmpl w:val="23AE3FD0"/>
    <w:lvl w:ilvl="0" w:tplc="1410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D184A"/>
    <w:multiLevelType w:val="hybridMultilevel"/>
    <w:tmpl w:val="839C8E16"/>
    <w:lvl w:ilvl="0" w:tplc="49DA9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24C4C"/>
    <w:rsid w:val="00103DFC"/>
    <w:rsid w:val="00110C48"/>
    <w:rsid w:val="00114182"/>
    <w:rsid w:val="00145624"/>
    <w:rsid w:val="001725A9"/>
    <w:rsid w:val="001811FB"/>
    <w:rsid w:val="001B2BEB"/>
    <w:rsid w:val="00213799"/>
    <w:rsid w:val="00227EB0"/>
    <w:rsid w:val="00262D68"/>
    <w:rsid w:val="00326013"/>
    <w:rsid w:val="00330B38"/>
    <w:rsid w:val="003618CA"/>
    <w:rsid w:val="0036480E"/>
    <w:rsid w:val="00384054"/>
    <w:rsid w:val="003907FA"/>
    <w:rsid w:val="003B6103"/>
    <w:rsid w:val="00434202"/>
    <w:rsid w:val="00447980"/>
    <w:rsid w:val="00492498"/>
    <w:rsid w:val="00496342"/>
    <w:rsid w:val="004E0FF1"/>
    <w:rsid w:val="0051066F"/>
    <w:rsid w:val="00516434"/>
    <w:rsid w:val="0052464F"/>
    <w:rsid w:val="005267B7"/>
    <w:rsid w:val="00571863"/>
    <w:rsid w:val="00582899"/>
    <w:rsid w:val="005918C3"/>
    <w:rsid w:val="005E649C"/>
    <w:rsid w:val="005F5386"/>
    <w:rsid w:val="005F5CDB"/>
    <w:rsid w:val="00602351"/>
    <w:rsid w:val="00670187"/>
    <w:rsid w:val="00680D39"/>
    <w:rsid w:val="0069062A"/>
    <w:rsid w:val="00695216"/>
    <w:rsid w:val="00695427"/>
    <w:rsid w:val="006A6FDB"/>
    <w:rsid w:val="006D3590"/>
    <w:rsid w:val="006D73E8"/>
    <w:rsid w:val="007B7060"/>
    <w:rsid w:val="007C3993"/>
    <w:rsid w:val="00823EAC"/>
    <w:rsid w:val="0082606B"/>
    <w:rsid w:val="008303E7"/>
    <w:rsid w:val="0085586F"/>
    <w:rsid w:val="008838DB"/>
    <w:rsid w:val="00887DB6"/>
    <w:rsid w:val="008E0AD5"/>
    <w:rsid w:val="0097229E"/>
    <w:rsid w:val="00985029"/>
    <w:rsid w:val="009E04F6"/>
    <w:rsid w:val="00A13D22"/>
    <w:rsid w:val="00A14FCA"/>
    <w:rsid w:val="00A223B9"/>
    <w:rsid w:val="00AA5F1E"/>
    <w:rsid w:val="00B45DAD"/>
    <w:rsid w:val="00B92CF9"/>
    <w:rsid w:val="00BE2A5E"/>
    <w:rsid w:val="00C06C37"/>
    <w:rsid w:val="00C43A8B"/>
    <w:rsid w:val="00C53BAB"/>
    <w:rsid w:val="00C85A7D"/>
    <w:rsid w:val="00C9473D"/>
    <w:rsid w:val="00CA24FF"/>
    <w:rsid w:val="00CB5E3D"/>
    <w:rsid w:val="00CB6D65"/>
    <w:rsid w:val="00CE0093"/>
    <w:rsid w:val="00DF7721"/>
    <w:rsid w:val="00E32D06"/>
    <w:rsid w:val="00E50C6F"/>
    <w:rsid w:val="00E63609"/>
    <w:rsid w:val="00E65F36"/>
    <w:rsid w:val="00EA11D6"/>
    <w:rsid w:val="00ED1CFF"/>
    <w:rsid w:val="00ED27BF"/>
    <w:rsid w:val="00F142E0"/>
    <w:rsid w:val="00F8432C"/>
    <w:rsid w:val="00FB73EB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ED2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ED2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Светлана Петровна Иванова</cp:lastModifiedBy>
  <cp:revision>5</cp:revision>
  <cp:lastPrinted>2019-08-19T12:38:00Z</cp:lastPrinted>
  <dcterms:created xsi:type="dcterms:W3CDTF">2019-10-30T06:23:00Z</dcterms:created>
  <dcterms:modified xsi:type="dcterms:W3CDTF">2019-11-05T07:46:00Z</dcterms:modified>
</cp:coreProperties>
</file>