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30540" w:rsidP="003E6F39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от</w:t>
            </w:r>
            <w:r w:rsidR="0089652A" w:rsidRPr="006476F4">
              <w:rPr>
                <w:sz w:val="24"/>
                <w:szCs w:val="24"/>
              </w:rPr>
              <w:t xml:space="preserve"> </w:t>
            </w:r>
            <w:r w:rsidR="003E6F39">
              <w:rPr>
                <w:sz w:val="24"/>
                <w:szCs w:val="24"/>
              </w:rPr>
              <w:t>12.09.</w:t>
            </w:r>
            <w:r w:rsidR="005D019C" w:rsidRPr="006476F4">
              <w:rPr>
                <w:sz w:val="24"/>
                <w:szCs w:val="24"/>
              </w:rPr>
              <w:t>201</w:t>
            </w:r>
            <w:r w:rsidR="00892A6E" w:rsidRPr="006476F4">
              <w:rPr>
                <w:sz w:val="24"/>
                <w:szCs w:val="24"/>
              </w:rPr>
              <w:t>9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BE249E" w:rsidRPr="006476F4">
              <w:rPr>
                <w:sz w:val="24"/>
                <w:szCs w:val="24"/>
              </w:rPr>
              <w:t xml:space="preserve"> </w:t>
            </w:r>
            <w:r w:rsidR="003E6F39">
              <w:rPr>
                <w:sz w:val="24"/>
                <w:szCs w:val="24"/>
              </w:rPr>
              <w:t>148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ОТКРЫТОГО АУКЦИОНА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3E6F39">
        <w:rPr>
          <w:b/>
          <w:sz w:val="28"/>
          <w:szCs w:val="28"/>
        </w:rPr>
        <w:t>1</w:t>
      </w:r>
      <w:r w:rsidRPr="007B11E2">
        <w:rPr>
          <w:b/>
          <w:sz w:val="28"/>
          <w:szCs w:val="28"/>
        </w:rPr>
        <w:t xml:space="preserve"> лот)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3E6F39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</w:t>
      </w:r>
      <w:r w:rsidR="003E6F39">
        <w:rPr>
          <w:szCs w:val="24"/>
        </w:rPr>
        <w:t xml:space="preserve">распоряжением 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3E6F39">
        <w:rPr>
          <w:szCs w:val="24"/>
        </w:rPr>
        <w:t>12.09.2</w:t>
      </w:r>
      <w:r w:rsidR="00F32A95" w:rsidRPr="006476F4">
        <w:rPr>
          <w:szCs w:val="24"/>
        </w:rPr>
        <w:t xml:space="preserve">019 года № </w:t>
      </w:r>
      <w:r w:rsidR="003E6F39">
        <w:rPr>
          <w:szCs w:val="24"/>
        </w:rPr>
        <w:t>148</w:t>
      </w:r>
      <w:r w:rsidR="00F32A95" w:rsidRPr="006476F4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0D7E45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r>
        <w:rPr>
          <w:b/>
        </w:rPr>
        <w:t xml:space="preserve">         </w:t>
      </w:r>
      <w:proofErr w:type="gramStart"/>
      <w:r w:rsidR="005D019C" w:rsidRPr="001B5274">
        <w:rPr>
          <w:b/>
        </w:rPr>
        <w:t>О</w:t>
      </w:r>
      <w:r w:rsidR="005D019C">
        <w:rPr>
          <w:b/>
        </w:rPr>
        <w:t xml:space="preserve">рганизатор – </w:t>
      </w:r>
      <w:r w:rsidR="005D019C"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 w:rsidR="005D019C">
        <w:t xml:space="preserve"> АО «</w:t>
      </w:r>
      <w:r w:rsidR="00F55748">
        <w:t>Единая электронная торговая площадка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="005D019C" w:rsidRPr="00032290">
        <w:t xml:space="preserve"> тел. </w:t>
      </w:r>
      <w:r w:rsidR="00382563" w:rsidRPr="00032290">
        <w:t xml:space="preserve">8 </w:t>
      </w:r>
      <w:r w:rsidR="005D019C" w:rsidRPr="00032290">
        <w:t>(</w:t>
      </w:r>
      <w:r w:rsidR="00F55748" w:rsidRPr="00032290">
        <w:t>49</w:t>
      </w:r>
      <w:r w:rsidR="00382563" w:rsidRPr="00032290">
        <w:t>5</w:t>
      </w:r>
      <w:r w:rsidR="005D019C" w:rsidRPr="00032290">
        <w:t xml:space="preserve">) </w:t>
      </w:r>
      <w:r w:rsidR="00F55748" w:rsidRPr="00032290">
        <w:t>276</w:t>
      </w:r>
      <w:r w:rsidR="005D019C" w:rsidRPr="00032290">
        <w:t>-</w:t>
      </w:r>
      <w:r w:rsidR="00F55748" w:rsidRPr="00032290">
        <w:t>16</w:t>
      </w:r>
      <w:r w:rsidR="005D019C"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2-47-42</w:t>
      </w:r>
      <w:r w:rsidR="003E6F39">
        <w:rPr>
          <w:bCs/>
          <w:sz w:val="24"/>
          <w:szCs w:val="24"/>
          <w:lang w:eastAsia="ar-SA"/>
        </w:rPr>
        <w:t>, 2-02-67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3E6F39">
        <w:rPr>
          <w:sz w:val="24"/>
          <w:szCs w:val="24"/>
          <w:lang w:eastAsia="ar-SA"/>
        </w:rPr>
        <w:t xml:space="preserve">Первый  заместитель главы, начальник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3E6F39">
        <w:rPr>
          <w:sz w:val="24"/>
          <w:szCs w:val="24"/>
          <w:lang w:eastAsia="ar-SA"/>
        </w:rPr>
        <w:t>Кандрашин</w:t>
      </w:r>
      <w:proofErr w:type="spellEnd"/>
      <w:r w:rsidR="003E6F39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6476F4">
        <w:rPr>
          <w:rFonts w:ascii="Times New Roman" w:hAnsi="Times New Roman"/>
          <w:b/>
          <w:sz w:val="24"/>
          <w:szCs w:val="24"/>
        </w:rPr>
        <w:t xml:space="preserve">  </w:t>
      </w:r>
      <w:r w:rsidR="00BB72D4">
        <w:rPr>
          <w:rFonts w:ascii="Times New Roman" w:hAnsi="Times New Roman"/>
          <w:b/>
          <w:sz w:val="24"/>
          <w:szCs w:val="24"/>
        </w:rPr>
        <w:t xml:space="preserve">18 октября </w:t>
      </w:r>
      <w:r w:rsidR="006476F4">
        <w:rPr>
          <w:rFonts w:ascii="Times New Roman" w:hAnsi="Times New Roman"/>
          <w:b/>
          <w:sz w:val="24"/>
          <w:szCs w:val="24"/>
        </w:rPr>
        <w:t xml:space="preserve">  </w:t>
      </w:r>
      <w:r w:rsidR="005D019C" w:rsidRPr="006476F4">
        <w:rPr>
          <w:rFonts w:ascii="Times New Roman" w:hAnsi="Times New Roman"/>
          <w:b/>
          <w:sz w:val="24"/>
          <w:szCs w:val="24"/>
        </w:rPr>
        <w:t>201</w:t>
      </w:r>
      <w:r w:rsidR="00996E80" w:rsidRPr="006476F4">
        <w:rPr>
          <w:rFonts w:ascii="Times New Roman" w:hAnsi="Times New Roman"/>
          <w:b/>
          <w:sz w:val="24"/>
          <w:szCs w:val="24"/>
        </w:rPr>
        <w:t>9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</w:t>
      </w:r>
      <w:r w:rsidR="006476F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Pr="0060058A">
        <w:rPr>
          <w:rFonts w:ascii="Times New Roman" w:hAnsi="Times New Roman"/>
          <w:b/>
          <w:sz w:val="24"/>
          <w:szCs w:val="24"/>
        </w:rPr>
        <w:t xml:space="preserve"> 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района  </w:t>
      </w:r>
      <w:r w:rsidR="00DB0A1F" w:rsidRPr="006476F4">
        <w:rPr>
          <w:rFonts w:ascii="Times New Roman" w:hAnsi="Times New Roman"/>
          <w:sz w:val="24"/>
          <w:szCs w:val="24"/>
        </w:rPr>
        <w:t>от</w:t>
      </w:r>
      <w:r w:rsidR="00204153">
        <w:rPr>
          <w:rFonts w:ascii="Times New Roman" w:hAnsi="Times New Roman"/>
          <w:sz w:val="24"/>
          <w:szCs w:val="24"/>
        </w:rPr>
        <w:t xml:space="preserve">  12 сентября </w:t>
      </w:r>
      <w:r w:rsidR="00DB0A1F" w:rsidRPr="006476F4">
        <w:rPr>
          <w:rFonts w:ascii="Times New Roman" w:hAnsi="Times New Roman"/>
          <w:sz w:val="24"/>
          <w:szCs w:val="24"/>
        </w:rPr>
        <w:t xml:space="preserve"> 2019 г. № </w:t>
      </w:r>
      <w:r w:rsidR="00204153">
        <w:rPr>
          <w:rFonts w:ascii="Times New Roman" w:hAnsi="Times New Roman"/>
          <w:sz w:val="24"/>
          <w:szCs w:val="24"/>
        </w:rPr>
        <w:t>148</w:t>
      </w:r>
      <w:r w:rsidR="00DB0A1F" w:rsidRPr="006476F4">
        <w:rPr>
          <w:rFonts w:ascii="Times New Roman" w:hAnsi="Times New Roman"/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153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1 </w:t>
      </w:r>
      <w:r w:rsidRPr="00783094">
        <w:rPr>
          <w:sz w:val="24"/>
          <w:szCs w:val="24"/>
        </w:rPr>
        <w:t xml:space="preserve">– </w:t>
      </w:r>
      <w:r w:rsidR="00204153" w:rsidRPr="0056159F">
        <w:rPr>
          <w:sz w:val="24"/>
        </w:rPr>
        <w:t xml:space="preserve"> автомобиль марки </w:t>
      </w:r>
      <w:r w:rsidR="00204153" w:rsidRPr="00D10F49">
        <w:rPr>
          <w:szCs w:val="26"/>
        </w:rPr>
        <w:t xml:space="preserve"> </w:t>
      </w:r>
      <w:r w:rsidR="00204153" w:rsidRPr="007F10C9">
        <w:rPr>
          <w:sz w:val="24"/>
        </w:rPr>
        <w:t>ВАЗ-21140, год выпуска – 2004, № двигателя 2111, 4021776, кузов № 3874082, шасси (рама)   № б/н, цвет кузова – серебристо-бежевый, регистрационный знак Е689ВА</w:t>
      </w:r>
      <w:r w:rsidR="00204153">
        <w:rPr>
          <w:sz w:val="24"/>
        </w:rPr>
        <w:t>21</w:t>
      </w:r>
      <w:r w:rsidR="00204153" w:rsidRPr="007F10C9">
        <w:rPr>
          <w:sz w:val="24"/>
        </w:rPr>
        <w:t>, паспорт транспортного средства  63 КХ 081884, идентификационный номер  (</w:t>
      </w:r>
      <w:r w:rsidR="00204153" w:rsidRPr="007F10C9">
        <w:rPr>
          <w:sz w:val="24"/>
          <w:lang w:val="en-US"/>
        </w:rPr>
        <w:t>VIN</w:t>
      </w:r>
      <w:r w:rsidR="00204153" w:rsidRPr="007F10C9">
        <w:rPr>
          <w:sz w:val="24"/>
        </w:rPr>
        <w:t>) ХТА21140053874082,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proofErr w:type="gramStart"/>
      <w:r w:rsidRPr="00783094">
        <w:rPr>
          <w:b/>
          <w:bCs/>
          <w:sz w:val="24"/>
          <w:szCs w:val="24"/>
        </w:rPr>
        <w:t xml:space="preserve">Начальная цена продажи – </w:t>
      </w:r>
      <w:r w:rsidR="00204153">
        <w:rPr>
          <w:b/>
          <w:bCs/>
          <w:sz w:val="24"/>
          <w:szCs w:val="24"/>
        </w:rPr>
        <w:t>27000</w:t>
      </w:r>
      <w:r w:rsidRPr="00783094">
        <w:rPr>
          <w:sz w:val="24"/>
          <w:szCs w:val="24"/>
        </w:rPr>
        <w:t xml:space="preserve"> (</w:t>
      </w:r>
      <w:r w:rsidR="00204153">
        <w:rPr>
          <w:sz w:val="24"/>
          <w:szCs w:val="24"/>
        </w:rPr>
        <w:t xml:space="preserve">двадцать  семь </w:t>
      </w:r>
      <w:r w:rsidRPr="00783094">
        <w:rPr>
          <w:sz w:val="24"/>
          <w:szCs w:val="24"/>
        </w:rPr>
        <w:t>тысяч) руб</w:t>
      </w:r>
      <w:r>
        <w:rPr>
          <w:sz w:val="24"/>
          <w:szCs w:val="24"/>
        </w:rPr>
        <w:t>. 00 коп.  с учетом НДС</w:t>
      </w:r>
      <w:r w:rsidRPr="00783094">
        <w:rPr>
          <w:sz w:val="24"/>
          <w:szCs w:val="24"/>
        </w:rPr>
        <w:t xml:space="preserve">, </w:t>
      </w:r>
      <w:r w:rsidRPr="00783094">
        <w:rPr>
          <w:b/>
          <w:bCs/>
          <w:sz w:val="24"/>
          <w:szCs w:val="24"/>
        </w:rPr>
        <w:t>сумма задатка</w:t>
      </w:r>
      <w:r w:rsidRPr="00783094">
        <w:rPr>
          <w:sz w:val="24"/>
          <w:szCs w:val="24"/>
        </w:rPr>
        <w:t xml:space="preserve"> (20% от начальной цены продажи) –  </w:t>
      </w:r>
      <w:r w:rsidR="00292A13">
        <w:rPr>
          <w:sz w:val="24"/>
          <w:szCs w:val="24"/>
        </w:rPr>
        <w:t>5400</w:t>
      </w:r>
      <w:r w:rsidRPr="00783094">
        <w:rPr>
          <w:b/>
          <w:sz w:val="24"/>
          <w:szCs w:val="24"/>
        </w:rPr>
        <w:t xml:space="preserve"> </w:t>
      </w:r>
      <w:r w:rsidRPr="00783094">
        <w:rPr>
          <w:sz w:val="24"/>
          <w:szCs w:val="24"/>
        </w:rPr>
        <w:t>(</w:t>
      </w:r>
      <w:r w:rsidR="00292A13">
        <w:rPr>
          <w:sz w:val="24"/>
          <w:szCs w:val="24"/>
        </w:rPr>
        <w:t xml:space="preserve">пять тысяч четыреста </w:t>
      </w:r>
      <w:r w:rsidRPr="00783094">
        <w:rPr>
          <w:sz w:val="24"/>
          <w:szCs w:val="24"/>
        </w:rPr>
        <w:t>) руб</w:t>
      </w:r>
      <w:r w:rsidR="00292A13">
        <w:rPr>
          <w:sz w:val="24"/>
          <w:szCs w:val="24"/>
        </w:rPr>
        <w:t>. 00 коп.</w:t>
      </w:r>
      <w:r w:rsidRPr="00783094">
        <w:rPr>
          <w:sz w:val="24"/>
          <w:szCs w:val="24"/>
        </w:rPr>
        <w:t xml:space="preserve">, </w:t>
      </w:r>
      <w:r w:rsidRPr="00783094">
        <w:rPr>
          <w:b/>
          <w:bCs/>
          <w:sz w:val="24"/>
          <w:szCs w:val="24"/>
        </w:rPr>
        <w:t>шаг аукциона</w:t>
      </w:r>
      <w:r w:rsidRPr="00783094">
        <w:rPr>
          <w:sz w:val="24"/>
          <w:szCs w:val="24"/>
        </w:rPr>
        <w:t xml:space="preserve"> (5% от начальной цены продажи) –  </w:t>
      </w:r>
      <w:r w:rsidR="00292A13">
        <w:rPr>
          <w:sz w:val="24"/>
          <w:szCs w:val="24"/>
        </w:rPr>
        <w:t>1350</w:t>
      </w:r>
      <w:r w:rsidRPr="00783094">
        <w:rPr>
          <w:sz w:val="24"/>
          <w:szCs w:val="24"/>
        </w:rPr>
        <w:t xml:space="preserve"> (</w:t>
      </w:r>
      <w:r w:rsidR="00292A13">
        <w:rPr>
          <w:sz w:val="24"/>
          <w:szCs w:val="24"/>
        </w:rPr>
        <w:t>одна тысяча триста пятьдесят</w:t>
      </w:r>
      <w:r w:rsidRPr="00783094">
        <w:rPr>
          <w:sz w:val="24"/>
          <w:szCs w:val="24"/>
        </w:rPr>
        <w:t>) руб</w:t>
      </w:r>
      <w:r w:rsidR="00292A13">
        <w:rPr>
          <w:sz w:val="24"/>
          <w:szCs w:val="24"/>
        </w:rPr>
        <w:t>. 00 коп.</w:t>
      </w:r>
      <w:proofErr w:type="gramEnd"/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b/>
          <w:sz w:val="24"/>
          <w:szCs w:val="24"/>
        </w:rPr>
        <w:t>Местонахождение имущества</w:t>
      </w:r>
      <w:r w:rsidRPr="00783094">
        <w:rPr>
          <w:sz w:val="24"/>
          <w:szCs w:val="24"/>
        </w:rPr>
        <w:t>: Чувашская Республика, г. Алатырь ул. Ленина, д.29.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>Существующие ограничения (обременения)  права – не зарегистрировано.</w:t>
      </w:r>
    </w:p>
    <w:p w:rsidR="00292A13" w:rsidRDefault="00783094" w:rsidP="00783094">
      <w:pPr>
        <w:widowControl/>
        <w:ind w:firstLine="567"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 w:rsidRPr="00783094">
        <w:rPr>
          <w:color w:val="000000"/>
          <w:sz w:val="24"/>
          <w:szCs w:val="24"/>
        </w:rPr>
        <w:t xml:space="preserve"> - </w:t>
      </w:r>
      <w:r w:rsidR="00292A13" w:rsidRPr="00FA148C">
        <w:rPr>
          <w:sz w:val="24"/>
          <w:szCs w:val="24"/>
        </w:rPr>
        <w:t>аукцион, открытый по составу участников и по форме подачи предложений о цене имущества, не проводился</w:t>
      </w: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b/>
          <w:bCs/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BB72D4" w:rsidRDefault="003F4BE1" w:rsidP="00BB72D4">
      <w:pPr>
        <w:numPr>
          <w:ilvl w:val="0"/>
          <w:numId w:val="35"/>
        </w:numPr>
        <w:shd w:val="clear" w:color="auto" w:fill="FFFFFF" w:themeFill="background1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BB72D4">
        <w:rPr>
          <w:b/>
          <w:sz w:val="24"/>
          <w:szCs w:val="24"/>
        </w:rPr>
        <w:t>Начало регистрации заявок на электронной площадке</w:t>
      </w:r>
      <w:r w:rsidRPr="00BB72D4">
        <w:rPr>
          <w:sz w:val="24"/>
          <w:szCs w:val="24"/>
        </w:rPr>
        <w:t xml:space="preserve"> – </w:t>
      </w:r>
      <w:r w:rsidR="00CD34A3" w:rsidRPr="00BB72D4">
        <w:rPr>
          <w:sz w:val="24"/>
          <w:szCs w:val="24"/>
        </w:rPr>
        <w:t xml:space="preserve">17 сентября </w:t>
      </w:r>
      <w:r w:rsidRPr="00BB72D4">
        <w:rPr>
          <w:sz w:val="24"/>
          <w:szCs w:val="24"/>
        </w:rPr>
        <w:t>201</w:t>
      </w:r>
      <w:r w:rsidR="002E2F80" w:rsidRPr="00BB72D4">
        <w:rPr>
          <w:sz w:val="24"/>
          <w:szCs w:val="24"/>
        </w:rPr>
        <w:t>9</w:t>
      </w:r>
      <w:r w:rsidRPr="00BB72D4">
        <w:rPr>
          <w:sz w:val="24"/>
          <w:szCs w:val="24"/>
        </w:rPr>
        <w:t xml:space="preserve"> г. </w:t>
      </w:r>
    </w:p>
    <w:p w:rsidR="003F4BE1" w:rsidRPr="00BB72D4" w:rsidRDefault="003F4BE1" w:rsidP="00BB72D4">
      <w:pPr>
        <w:numPr>
          <w:ilvl w:val="0"/>
          <w:numId w:val="35"/>
        </w:num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bookmarkStart w:id="0" w:name="_GoBack"/>
      <w:bookmarkEnd w:id="0"/>
      <w:r w:rsidRPr="00BB72D4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BB72D4">
        <w:rPr>
          <w:sz w:val="24"/>
          <w:szCs w:val="24"/>
        </w:rPr>
        <w:t xml:space="preserve">–в </w:t>
      </w:r>
      <w:r w:rsidR="00B50D71" w:rsidRPr="00BB72D4">
        <w:rPr>
          <w:sz w:val="24"/>
          <w:szCs w:val="24"/>
        </w:rPr>
        <w:t>1</w:t>
      </w:r>
      <w:r w:rsidR="006476F4" w:rsidRPr="00BB72D4">
        <w:rPr>
          <w:sz w:val="24"/>
          <w:szCs w:val="24"/>
        </w:rPr>
        <w:t>7</w:t>
      </w:r>
      <w:r w:rsidR="00B50D71" w:rsidRPr="00BB72D4">
        <w:rPr>
          <w:sz w:val="24"/>
          <w:szCs w:val="24"/>
        </w:rPr>
        <w:t xml:space="preserve"> </w:t>
      </w:r>
      <w:r w:rsidRPr="00BB72D4">
        <w:rPr>
          <w:sz w:val="24"/>
          <w:szCs w:val="24"/>
        </w:rPr>
        <w:t xml:space="preserve">часов </w:t>
      </w:r>
      <w:r w:rsidR="00B50D71" w:rsidRPr="00BB72D4">
        <w:rPr>
          <w:sz w:val="24"/>
          <w:szCs w:val="24"/>
        </w:rPr>
        <w:t xml:space="preserve">00 </w:t>
      </w:r>
      <w:r w:rsidRPr="00BB72D4">
        <w:rPr>
          <w:sz w:val="24"/>
          <w:szCs w:val="24"/>
        </w:rPr>
        <w:t xml:space="preserve">минут  </w:t>
      </w:r>
      <w:r w:rsidR="00BB72D4" w:rsidRPr="00BB72D4">
        <w:rPr>
          <w:sz w:val="24"/>
          <w:szCs w:val="24"/>
        </w:rPr>
        <w:t xml:space="preserve">12 октября </w:t>
      </w:r>
      <w:r w:rsidR="00304C1F" w:rsidRPr="00BB72D4">
        <w:rPr>
          <w:sz w:val="24"/>
          <w:szCs w:val="24"/>
        </w:rPr>
        <w:t xml:space="preserve"> 201</w:t>
      </w:r>
      <w:r w:rsidR="002E2F80" w:rsidRPr="00BB72D4">
        <w:rPr>
          <w:sz w:val="24"/>
          <w:szCs w:val="24"/>
        </w:rPr>
        <w:t>9</w:t>
      </w:r>
      <w:r w:rsidR="00304C1F" w:rsidRPr="00BB72D4">
        <w:rPr>
          <w:sz w:val="24"/>
          <w:szCs w:val="24"/>
        </w:rPr>
        <w:t xml:space="preserve"> г.</w:t>
      </w:r>
    </w:p>
    <w:p w:rsidR="003F4BE1" w:rsidRPr="00BB72D4" w:rsidRDefault="003F4BE1" w:rsidP="00BB72D4">
      <w:pPr>
        <w:numPr>
          <w:ilvl w:val="0"/>
          <w:numId w:val="35"/>
        </w:num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BB72D4">
        <w:rPr>
          <w:b/>
          <w:sz w:val="24"/>
          <w:szCs w:val="24"/>
        </w:rPr>
        <w:t>Дата окончания определения участников аукциона</w:t>
      </w:r>
      <w:r w:rsidRPr="00BB72D4">
        <w:rPr>
          <w:sz w:val="24"/>
          <w:szCs w:val="24"/>
        </w:rPr>
        <w:t xml:space="preserve"> –</w:t>
      </w:r>
      <w:r w:rsidR="00BB5936" w:rsidRPr="00BB72D4">
        <w:rPr>
          <w:sz w:val="24"/>
          <w:szCs w:val="24"/>
        </w:rPr>
        <w:t xml:space="preserve"> </w:t>
      </w:r>
      <w:r w:rsidR="00BB72D4" w:rsidRPr="00BB72D4">
        <w:rPr>
          <w:sz w:val="24"/>
          <w:szCs w:val="24"/>
        </w:rPr>
        <w:t>1</w:t>
      </w:r>
      <w:r w:rsidR="006476F4" w:rsidRPr="00BB72D4">
        <w:rPr>
          <w:sz w:val="24"/>
          <w:szCs w:val="24"/>
        </w:rPr>
        <w:t xml:space="preserve">7 </w:t>
      </w:r>
      <w:r w:rsidR="00BB72D4" w:rsidRPr="00BB72D4">
        <w:rPr>
          <w:sz w:val="24"/>
          <w:szCs w:val="24"/>
        </w:rPr>
        <w:t xml:space="preserve">октября </w:t>
      </w:r>
      <w:r w:rsidR="00304C1F" w:rsidRPr="00BB72D4">
        <w:rPr>
          <w:sz w:val="24"/>
          <w:szCs w:val="24"/>
        </w:rPr>
        <w:t xml:space="preserve"> 201</w:t>
      </w:r>
      <w:r w:rsidR="002E2F80" w:rsidRPr="00BB72D4">
        <w:rPr>
          <w:sz w:val="24"/>
          <w:szCs w:val="24"/>
        </w:rPr>
        <w:t>9</w:t>
      </w:r>
      <w:r w:rsidR="00304C1F" w:rsidRPr="00BB72D4">
        <w:rPr>
          <w:sz w:val="24"/>
          <w:szCs w:val="24"/>
        </w:rPr>
        <w:t xml:space="preserve"> г.</w:t>
      </w:r>
    </w:p>
    <w:p w:rsidR="003F4BE1" w:rsidRPr="00BB72D4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BB72D4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BB72D4">
        <w:rPr>
          <w:sz w:val="24"/>
          <w:szCs w:val="24"/>
        </w:rPr>
        <w:t xml:space="preserve">–                              в </w:t>
      </w:r>
      <w:r w:rsidR="001B4CD2" w:rsidRPr="00BB72D4">
        <w:rPr>
          <w:sz w:val="24"/>
          <w:szCs w:val="24"/>
        </w:rPr>
        <w:t>10</w:t>
      </w:r>
      <w:r w:rsidR="00B50D71" w:rsidRPr="00BB72D4">
        <w:rPr>
          <w:sz w:val="24"/>
          <w:szCs w:val="24"/>
        </w:rPr>
        <w:t xml:space="preserve"> </w:t>
      </w:r>
      <w:r w:rsidRPr="00BB72D4">
        <w:rPr>
          <w:sz w:val="24"/>
          <w:szCs w:val="24"/>
        </w:rPr>
        <w:t xml:space="preserve">часов </w:t>
      </w:r>
      <w:r w:rsidR="001B4CD2" w:rsidRPr="00BB72D4">
        <w:rPr>
          <w:sz w:val="24"/>
          <w:szCs w:val="24"/>
        </w:rPr>
        <w:t>0</w:t>
      </w:r>
      <w:r w:rsidR="00B50D71" w:rsidRPr="00BB72D4">
        <w:rPr>
          <w:sz w:val="24"/>
          <w:szCs w:val="24"/>
        </w:rPr>
        <w:t xml:space="preserve">0 </w:t>
      </w:r>
      <w:r w:rsidRPr="00BB72D4">
        <w:rPr>
          <w:sz w:val="24"/>
          <w:szCs w:val="24"/>
        </w:rPr>
        <w:t xml:space="preserve"> минут </w:t>
      </w:r>
      <w:r w:rsidR="00BB72D4" w:rsidRPr="00BB72D4">
        <w:rPr>
          <w:sz w:val="24"/>
          <w:szCs w:val="24"/>
        </w:rPr>
        <w:t>1</w:t>
      </w:r>
      <w:r w:rsidR="006476F4" w:rsidRPr="00BB72D4">
        <w:rPr>
          <w:sz w:val="24"/>
          <w:szCs w:val="24"/>
        </w:rPr>
        <w:t>8</w:t>
      </w:r>
      <w:r w:rsidR="00BB72D4" w:rsidRPr="00BB72D4">
        <w:rPr>
          <w:sz w:val="24"/>
          <w:szCs w:val="24"/>
        </w:rPr>
        <w:t xml:space="preserve"> октября 2</w:t>
      </w:r>
      <w:r w:rsidRPr="00BB72D4">
        <w:rPr>
          <w:sz w:val="24"/>
          <w:szCs w:val="24"/>
        </w:rPr>
        <w:t>01</w:t>
      </w:r>
      <w:r w:rsidR="002E2F80" w:rsidRPr="00BB72D4">
        <w:rPr>
          <w:sz w:val="24"/>
          <w:szCs w:val="24"/>
        </w:rPr>
        <w:t>9</w:t>
      </w:r>
      <w:r w:rsidRPr="00BB72D4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lastRenderedPageBreak/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67024C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080154" w:rsidRPr="0067024C">
        <w:rPr>
          <w:rFonts w:eastAsia="Calibri"/>
          <w:sz w:val="24"/>
          <w:szCs w:val="24"/>
        </w:rPr>
        <w:t>: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lastRenderedPageBreak/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закрытой части электронной площадки - помимо информации, указанной в открытой </w:t>
      </w:r>
      <w:r w:rsidRPr="001B5274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lastRenderedPageBreak/>
        <w:t xml:space="preserve">В случае,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0B6225" w:rsidRPr="00FA3BC1">
        <w:rPr>
          <w:b/>
          <w:sz w:val="24"/>
          <w:szCs w:val="24"/>
        </w:rPr>
        <w:t>2-47-42</w:t>
      </w:r>
      <w:r w:rsidR="00292A13">
        <w:rPr>
          <w:b/>
          <w:sz w:val="24"/>
          <w:szCs w:val="24"/>
        </w:rPr>
        <w:t>, 2-02-67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"____"_____________201</w:t>
      </w:r>
      <w:r w:rsidR="00840F53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 xml:space="preserve">от </w:t>
      </w:r>
      <w:r w:rsidR="0067024C" w:rsidRPr="007C6181">
        <w:rPr>
          <w:sz w:val="22"/>
          <w:szCs w:val="22"/>
        </w:rPr>
        <w:t xml:space="preserve">01 апреля </w:t>
      </w:r>
      <w:r w:rsidR="00F32A95" w:rsidRPr="007C6181">
        <w:rPr>
          <w:sz w:val="22"/>
          <w:szCs w:val="22"/>
        </w:rPr>
        <w:t xml:space="preserve">2019 ода № </w:t>
      </w:r>
      <w:r w:rsidR="0067024C" w:rsidRPr="007C6181">
        <w:rPr>
          <w:sz w:val="22"/>
          <w:szCs w:val="22"/>
        </w:rPr>
        <w:t>53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proofErr w:type="gramEnd"/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</w:t>
      </w:r>
      <w:proofErr w:type="gramStart"/>
      <w:r w:rsidRPr="002420B9">
        <w:rPr>
          <w:sz w:val="22"/>
          <w:szCs w:val="22"/>
        </w:rPr>
        <w:t>и  на</w:t>
      </w:r>
      <w:proofErr w:type="gramEnd"/>
      <w:r w:rsidRPr="002420B9">
        <w:rPr>
          <w:sz w:val="22"/>
          <w:szCs w:val="22"/>
        </w:rPr>
        <w:t xml:space="preserve">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107ED5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870A7A" w:rsidP="000062F1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 </w:t>
      </w:r>
      <w:r w:rsidR="000062F1"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</w:t>
      </w:r>
      <w:r w:rsidR="00870A7A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"___"__________201</w:t>
      </w:r>
      <w:r w:rsidR="00AA713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05153000250)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201</w:t>
      </w:r>
      <w:r w:rsidR="00AA713E">
        <w:rPr>
          <w:szCs w:val="22"/>
        </w:rPr>
        <w:t>9</w:t>
      </w:r>
      <w:r w:rsidR="0053477D"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>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F46E64">
              <w:rPr>
                <w:sz w:val="22"/>
                <w:szCs w:val="22"/>
              </w:rPr>
              <w:t xml:space="preserve"> 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F46E64">
              <w:rPr>
                <w:sz w:val="22"/>
                <w:szCs w:val="22"/>
              </w:rPr>
              <w:t xml:space="preserve"> </w:t>
            </w: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79" w:rsidRDefault="00901779">
      <w:r>
        <w:separator/>
      </w:r>
    </w:p>
  </w:endnote>
  <w:endnote w:type="continuationSeparator" w:id="0">
    <w:p w:rsidR="00901779" w:rsidRDefault="0090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79" w:rsidRDefault="00901779">
      <w:r>
        <w:separator/>
      </w:r>
    </w:p>
  </w:footnote>
  <w:footnote w:type="continuationSeparator" w:id="0">
    <w:p w:rsidR="00901779" w:rsidRDefault="0090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4" w:rsidRDefault="0078309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83094" w:rsidRDefault="00783094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4" w:rsidRDefault="0078309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B71E3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783094" w:rsidRDefault="00783094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1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2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3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4396A"/>
    <w:rsid w:val="0014665D"/>
    <w:rsid w:val="001573A4"/>
    <w:rsid w:val="00162A78"/>
    <w:rsid w:val="00191C35"/>
    <w:rsid w:val="001A2D52"/>
    <w:rsid w:val="001B4CD2"/>
    <w:rsid w:val="001C49E0"/>
    <w:rsid w:val="001D1B38"/>
    <w:rsid w:val="001D2626"/>
    <w:rsid w:val="001F2359"/>
    <w:rsid w:val="001F258D"/>
    <w:rsid w:val="00204153"/>
    <w:rsid w:val="0022418D"/>
    <w:rsid w:val="002302C9"/>
    <w:rsid w:val="00234421"/>
    <w:rsid w:val="00237E56"/>
    <w:rsid w:val="002409C5"/>
    <w:rsid w:val="00242089"/>
    <w:rsid w:val="00292A13"/>
    <w:rsid w:val="002C1438"/>
    <w:rsid w:val="002C58C1"/>
    <w:rsid w:val="002D5A53"/>
    <w:rsid w:val="002E2F80"/>
    <w:rsid w:val="002E5AD8"/>
    <w:rsid w:val="002E6F15"/>
    <w:rsid w:val="00304C1F"/>
    <w:rsid w:val="00313CC4"/>
    <w:rsid w:val="003152F6"/>
    <w:rsid w:val="00317589"/>
    <w:rsid w:val="003606B2"/>
    <w:rsid w:val="00382563"/>
    <w:rsid w:val="0038770D"/>
    <w:rsid w:val="003A0756"/>
    <w:rsid w:val="003A4B03"/>
    <w:rsid w:val="003B0175"/>
    <w:rsid w:val="003C13E4"/>
    <w:rsid w:val="003E3587"/>
    <w:rsid w:val="003E6F39"/>
    <w:rsid w:val="003F0F3F"/>
    <w:rsid w:val="003F4BE1"/>
    <w:rsid w:val="00402040"/>
    <w:rsid w:val="00402B83"/>
    <w:rsid w:val="00412EE3"/>
    <w:rsid w:val="00421744"/>
    <w:rsid w:val="00443B09"/>
    <w:rsid w:val="004610D0"/>
    <w:rsid w:val="004727B1"/>
    <w:rsid w:val="00476197"/>
    <w:rsid w:val="00480B48"/>
    <w:rsid w:val="00496935"/>
    <w:rsid w:val="004A28D2"/>
    <w:rsid w:val="004A36B1"/>
    <w:rsid w:val="004B3150"/>
    <w:rsid w:val="004B7755"/>
    <w:rsid w:val="004E29B1"/>
    <w:rsid w:val="004E6E0A"/>
    <w:rsid w:val="004F0937"/>
    <w:rsid w:val="005102B1"/>
    <w:rsid w:val="0052503F"/>
    <w:rsid w:val="00526FBD"/>
    <w:rsid w:val="0053477D"/>
    <w:rsid w:val="00577B19"/>
    <w:rsid w:val="005A60F3"/>
    <w:rsid w:val="005C4B8D"/>
    <w:rsid w:val="005D019C"/>
    <w:rsid w:val="0060058A"/>
    <w:rsid w:val="00607603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27D2"/>
    <w:rsid w:val="00715BA9"/>
    <w:rsid w:val="00715EB4"/>
    <w:rsid w:val="00735108"/>
    <w:rsid w:val="00737199"/>
    <w:rsid w:val="00746F44"/>
    <w:rsid w:val="00783094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54D3"/>
    <w:rsid w:val="00857D52"/>
    <w:rsid w:val="00870A7A"/>
    <w:rsid w:val="008812AE"/>
    <w:rsid w:val="008854FD"/>
    <w:rsid w:val="00892A6E"/>
    <w:rsid w:val="0089652A"/>
    <w:rsid w:val="008B2F77"/>
    <w:rsid w:val="008B3BF0"/>
    <w:rsid w:val="00901779"/>
    <w:rsid w:val="00933B09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B4C7C"/>
    <w:rsid w:val="009C48EF"/>
    <w:rsid w:val="009D024D"/>
    <w:rsid w:val="009D2074"/>
    <w:rsid w:val="009D4F4C"/>
    <w:rsid w:val="009E592A"/>
    <w:rsid w:val="009E6EED"/>
    <w:rsid w:val="00A1717D"/>
    <w:rsid w:val="00A17870"/>
    <w:rsid w:val="00A21327"/>
    <w:rsid w:val="00A274B5"/>
    <w:rsid w:val="00A515EB"/>
    <w:rsid w:val="00A57290"/>
    <w:rsid w:val="00A61508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11BF3"/>
    <w:rsid w:val="00B25F3E"/>
    <w:rsid w:val="00B4070E"/>
    <w:rsid w:val="00B50D71"/>
    <w:rsid w:val="00B72A90"/>
    <w:rsid w:val="00B96473"/>
    <w:rsid w:val="00BB5936"/>
    <w:rsid w:val="00BB72D4"/>
    <w:rsid w:val="00BC3261"/>
    <w:rsid w:val="00BD1E67"/>
    <w:rsid w:val="00BD7BD6"/>
    <w:rsid w:val="00BE249E"/>
    <w:rsid w:val="00BE3053"/>
    <w:rsid w:val="00C12361"/>
    <w:rsid w:val="00C41529"/>
    <w:rsid w:val="00C50434"/>
    <w:rsid w:val="00C66FBE"/>
    <w:rsid w:val="00C678CA"/>
    <w:rsid w:val="00C8172E"/>
    <w:rsid w:val="00C81BE7"/>
    <w:rsid w:val="00C8303C"/>
    <w:rsid w:val="00C90D61"/>
    <w:rsid w:val="00C91B96"/>
    <w:rsid w:val="00CB0217"/>
    <w:rsid w:val="00CB6B38"/>
    <w:rsid w:val="00CB71E3"/>
    <w:rsid w:val="00CD34A3"/>
    <w:rsid w:val="00CF3E1D"/>
    <w:rsid w:val="00D55F84"/>
    <w:rsid w:val="00D6322B"/>
    <w:rsid w:val="00D7309A"/>
    <w:rsid w:val="00D8693F"/>
    <w:rsid w:val="00D92531"/>
    <w:rsid w:val="00DB0A1F"/>
    <w:rsid w:val="00DE346F"/>
    <w:rsid w:val="00DE53B6"/>
    <w:rsid w:val="00DE64D9"/>
    <w:rsid w:val="00E00A39"/>
    <w:rsid w:val="00E50CAF"/>
    <w:rsid w:val="00EB227A"/>
    <w:rsid w:val="00F231D4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BEC0-CB9E-488E-9549-52DD92FE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18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user</cp:lastModifiedBy>
  <cp:revision>27</cp:revision>
  <cp:lastPrinted>2016-10-13T07:25:00Z</cp:lastPrinted>
  <dcterms:created xsi:type="dcterms:W3CDTF">2019-03-09T19:06:00Z</dcterms:created>
  <dcterms:modified xsi:type="dcterms:W3CDTF">2019-09-16T06:02:00Z</dcterms:modified>
</cp:coreProperties>
</file>