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D" w:rsidRPr="00DA1E94" w:rsidRDefault="005A78DD" w:rsidP="005A78DD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F0BF2"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A78DD" w:rsidRPr="00DA1E94" w:rsidRDefault="005A78DD" w:rsidP="005A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5A78DD" w:rsidRPr="00DA1E94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протокольным решением </w:t>
      </w:r>
    </w:p>
    <w:p w:rsidR="005A78DD" w:rsidRPr="00DA1E94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Совета при Главе Чувашской </w:t>
      </w:r>
    </w:p>
    <w:p w:rsidR="005A78DD" w:rsidRPr="00DA1E94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Республики по </w:t>
      </w:r>
      <w:proofErr w:type="gramStart"/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стратегическому</w:t>
      </w:r>
      <w:proofErr w:type="gramEnd"/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DD" w:rsidRPr="00DA1E94" w:rsidRDefault="005A78DD" w:rsidP="005A78DD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развитию и проектной деятельности</w:t>
      </w:r>
    </w:p>
    <w:p w:rsidR="005A78DD" w:rsidRDefault="005A78DD" w:rsidP="00B52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73092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B5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 г.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52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5239C" w:rsidRPr="00DA1E94" w:rsidRDefault="00B5239C" w:rsidP="00B52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232ECA" w:rsidRPr="00DA1E94" w:rsidRDefault="00232ECA" w:rsidP="00232ECA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проекта </w:t>
      </w:r>
      <w:r w:rsidR="00C23A6F"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6C0B5A"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710C07" w:rsidRPr="00DA1E94" w:rsidRDefault="00710C07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«Популяризация предпринимательства»</w:t>
      </w: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Основные положения</w:t>
      </w:r>
    </w:p>
    <w:p w:rsidR="00232ECA" w:rsidRPr="00DA1E94" w:rsidRDefault="00232ECA" w:rsidP="00232EC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3689"/>
        <w:gridCol w:w="2627"/>
        <w:gridCol w:w="3284"/>
      </w:tblGrid>
      <w:tr w:rsidR="00C23A6F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C23A6F" w:rsidRPr="00DA1E94" w:rsidRDefault="00C23A6F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C23A6F" w:rsidRPr="00DA1E94" w:rsidRDefault="00C23A6F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предпринимательства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05364B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32ECA" w:rsidRPr="00DA1E94" w:rsidRDefault="00B144C8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«Популяризация предпринимательства»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32ECA" w:rsidRPr="00DA1E94" w:rsidRDefault="00232ECA" w:rsidP="00986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</w:t>
            </w:r>
            <w:r w:rsidR="009866C7" w:rsidRPr="00DA1E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Pr="00DA1E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.2019 – 31.12.2024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440C53" w:rsidRPr="00DA1E94" w:rsidRDefault="00AF6016" w:rsidP="00AF601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DA1E94" w:rsidRDefault="00DA1E94" w:rsidP="00A42E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Сергей Леонидович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E13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02485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="00002485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E13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промышленности и торговли 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DA1E94" w:rsidRDefault="00A42E13" w:rsidP="00A42E13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>Зухра</w:t>
            </w:r>
            <w:proofErr w:type="spellEnd"/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>Пахрутдиновна</w:t>
            </w:r>
            <w:proofErr w:type="spellEnd"/>
            <w:r w:rsidR="00232ECA"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начальник </w:t>
            </w:r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отдела развития предпринимательства и ремесел </w:t>
            </w: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экономического развития промышленности и торговли Чувашской Республики</w:t>
            </w:r>
          </w:p>
        </w:tc>
      </w:tr>
      <w:tr w:rsidR="00232ECA" w:rsidRPr="00DA1E94" w:rsidTr="00620D91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C23A6F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государственными программами </w:t>
            </w:r>
            <w:r w:rsidR="00C23A6F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DA1E94" w:rsidRDefault="00AF6016" w:rsidP="00AF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Чувашской Республики «Экономическое развитие Чувашской Республики»</w:t>
            </w:r>
          </w:p>
        </w:tc>
      </w:tr>
    </w:tbl>
    <w:p w:rsidR="006C0B5A" w:rsidRPr="00DA1E94" w:rsidRDefault="006C0B5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03" w:rsidRPr="00DA1E94" w:rsidRDefault="00C4010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Цель и показатели регионального проекта</w:t>
      </w: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7"/>
        <w:gridCol w:w="6"/>
        <w:gridCol w:w="3538"/>
        <w:gridCol w:w="1843"/>
        <w:gridCol w:w="20"/>
        <w:gridCol w:w="972"/>
        <w:gridCol w:w="1276"/>
        <w:gridCol w:w="1276"/>
        <w:gridCol w:w="1134"/>
        <w:gridCol w:w="992"/>
        <w:gridCol w:w="1276"/>
        <w:gridCol w:w="1097"/>
        <w:gridCol w:w="37"/>
        <w:gridCol w:w="1134"/>
      </w:tblGrid>
      <w:tr w:rsidR="00C40103" w:rsidRPr="00DA1E94" w:rsidTr="007C7DEC">
        <w:trPr>
          <w:trHeight w:hRule="exact" w:val="430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№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п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Тип показателя</w:t>
            </w:r>
          </w:p>
        </w:tc>
        <w:tc>
          <w:tcPr>
            <w:tcW w:w="2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Базовое значение</w:t>
            </w:r>
          </w:p>
        </w:tc>
        <w:tc>
          <w:tcPr>
            <w:tcW w:w="6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Период, год</w:t>
            </w:r>
          </w:p>
        </w:tc>
      </w:tr>
      <w:tr w:rsidR="00C40103" w:rsidRPr="00DA1E94" w:rsidTr="007C7DEC">
        <w:trPr>
          <w:trHeight w:hRule="exact" w:val="43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значение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2024</w:t>
            </w:r>
          </w:p>
        </w:tc>
      </w:tr>
      <w:tr w:rsidR="00C40103" w:rsidRPr="00DA1E94" w:rsidTr="007C7DEC">
        <w:trPr>
          <w:trHeight w:hRule="exact" w:val="287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10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11</w:t>
            </w:r>
          </w:p>
        </w:tc>
      </w:tr>
      <w:tr w:rsidR="00C40103" w:rsidRPr="00DA1E94" w:rsidTr="0018411D">
        <w:trPr>
          <w:trHeight w:hRule="exact" w:val="2040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40103" w:rsidRPr="00DA1E94" w:rsidRDefault="00C40103" w:rsidP="00F2036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Количество физических лиц - участников </w:t>
            </w:r>
            <w:r w:rsidR="007C7DEC"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регионального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проекта, занятых в сфере малого и среднего предпринимательства, по итогам участия в федеральном проекте, </w:t>
            </w:r>
            <w:r w:rsidR="001841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тыс. </w:t>
            </w:r>
            <w:r w:rsid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человек,</w:t>
            </w:r>
            <w:r w:rsidR="00F2036C">
              <w:t xml:space="preserve"> 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нарастающим итогом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Основной показатель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0,216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0,865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1,583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2,301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3,016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3,737</w:t>
            </w:r>
          </w:p>
        </w:tc>
      </w:tr>
      <w:tr w:rsidR="00C40103" w:rsidRPr="00DA1E94" w:rsidTr="0018411D">
        <w:trPr>
          <w:trHeight w:hRule="exact" w:val="1290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191DC7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40103" w:rsidRPr="00DA1E94" w:rsidRDefault="00C40103" w:rsidP="00F2036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Количество вновь созданных субъектов МСП участниками проекта, </w:t>
            </w:r>
            <w:r w:rsidR="001841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тыс. единиц</w:t>
            </w:r>
            <w:r w:rsid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,</w:t>
            </w:r>
            <w:r w:rsidR="00F2036C"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нарастающим итогом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Основной показатель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0,064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0,160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0,255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0,326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0,390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0,440</w:t>
            </w:r>
          </w:p>
        </w:tc>
      </w:tr>
      <w:tr w:rsidR="00C40103" w:rsidRPr="00DA1E94" w:rsidTr="007C7DEC">
        <w:trPr>
          <w:trHeight w:hRule="exact" w:val="1853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191DC7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40103" w:rsidRPr="00DA1E94" w:rsidRDefault="00C40103" w:rsidP="00F2036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тыс. человек</w:t>
            </w:r>
            <w:r w:rsid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,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нарастающим итогом</w:t>
            </w:r>
            <w:r w:rsidR="001841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Основной показатель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0,649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F2217D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1,326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2,006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2,442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2,855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3,213</w:t>
            </w:r>
          </w:p>
        </w:tc>
      </w:tr>
      <w:tr w:rsidR="00191DC7" w:rsidRPr="00DA1E94" w:rsidTr="0018411D">
        <w:trPr>
          <w:gridBefore w:val="1"/>
          <w:wBefore w:w="6" w:type="dxa"/>
          <w:trHeight w:hRule="exact" w:val="1263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AA72EE" w:rsidP="007C7DE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1DC7" w:rsidRPr="00DA1E94" w:rsidRDefault="00191DC7" w:rsidP="00F2036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Количество физических лиц - участников </w:t>
            </w:r>
            <w:r w:rsidR="007C7DEC"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регионального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проекта, 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тыс. человек</w:t>
            </w:r>
            <w:r w:rsid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,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нарастающим итогом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191DC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Основной показатель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191DC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191DC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3,546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7,304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11,133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14,679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18,082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20,919</w:t>
            </w:r>
          </w:p>
        </w:tc>
      </w:tr>
    </w:tbl>
    <w:p w:rsidR="00C40103" w:rsidRPr="00DA1E94" w:rsidRDefault="00C4010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D5" w:rsidRPr="0018411D" w:rsidRDefault="007F17D5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9C" w:rsidRDefault="00B5239C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Результаты регионального проекта</w:t>
      </w: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624"/>
        <w:gridCol w:w="1701"/>
        <w:gridCol w:w="8114"/>
      </w:tblGrid>
      <w:tr w:rsidR="00232ECA" w:rsidRPr="00DA1E94" w:rsidTr="0069623C">
        <w:tc>
          <w:tcPr>
            <w:tcW w:w="729" w:type="dxa"/>
            <w:shd w:val="clear" w:color="auto" w:fill="auto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232ECA" w:rsidRPr="00DA1E94" w:rsidTr="0069623C">
        <w:trPr>
          <w:trHeight w:val="305"/>
        </w:trPr>
        <w:tc>
          <w:tcPr>
            <w:tcW w:w="15168" w:type="dxa"/>
            <w:gridSpan w:val="4"/>
          </w:tcPr>
          <w:p w:rsidR="00232ECA" w:rsidRPr="00DA1E94" w:rsidRDefault="00232ECA" w:rsidP="004814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положительного образа предпринимателя</w:t>
            </w:r>
            <w:r w:rsidRPr="00DA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ECA" w:rsidRPr="00DA1E94" w:rsidTr="00B5239C">
        <w:trPr>
          <w:trHeight w:val="1101"/>
        </w:trPr>
        <w:tc>
          <w:tcPr>
            <w:tcW w:w="729" w:type="dxa"/>
            <w:shd w:val="clear" w:color="auto" w:fill="auto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7D2" w:rsidRPr="00DA1E94" w:rsidRDefault="002C35BE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39" w:type="dxa"/>
            <w:gridSpan w:val="3"/>
          </w:tcPr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Результат федерального проекта (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справочно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 xml:space="preserve"> из паспорта федерального проекта):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62000 ед. в 2024 г.</w:t>
            </w:r>
          </w:p>
          <w:p w:rsidR="003C214B" w:rsidRPr="00DA1E94" w:rsidRDefault="003C214B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 (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справочно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 xml:space="preserve"> из паспорта федерального проекта):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Реализованы комплексные программы по вовлечению населения в предпринимательскую деятельность в субъектах Российской Федерации.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 этапы: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Информационная кампания, направленная на создание положительного образа предпринимателя, реализованная в соответствии с разработанной моделью, указанной в п. 1.2. настоящего Паспорта, в том числе реализация существующих программ и проектов в рамках указанной тематики;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субъектах Российской Федерации реализованы массовые обучающие программы, направленные на развитие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мероприятия, направленные на выявление у участников предрасположенностей к профессиональным навыкам и компетенциям;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обучающие мероприятия, направленные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Проведены обучающие мероприятия для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граждан, в том числе разъясняющие особенности специального налогового режима для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граждан, предусмотренного пилотным проектом 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IT-форме,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постановку на учет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 и администрирование налога;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Реализованы программы и проекты, направленные на вовлечение в предпринимательскую деятельность молодежи в возрасте 14 - 17 лет; 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региональные этапы всероссийских и международных мероприятий (конкурсов, премий и т.д.);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Реализованы проекты по наставничеству;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публичные мероприятия (форумы, конференции, слеты и т.д.), для участников Проекта.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 участия предпринимателей - участников Проекта в международных экономических площадках.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вновь созданных субъектов МСП достигнет (нарастающим итогом) 62000 ед. в 2024 г., в том числе: 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2019 г. - 9000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2020 г. - 22500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2021 г. - 36000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в 2022 г. - 46000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2023 г. - 55000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2024 г. - 62000 ед.</w:t>
            </w:r>
          </w:p>
          <w:p w:rsidR="00232ECA" w:rsidRDefault="00C73E5E" w:rsidP="00B5239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(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 паспорта федерального проекта): 20.12.2024</w:t>
            </w:r>
          </w:p>
          <w:p w:rsidR="00B5239C" w:rsidRPr="00DA1E94" w:rsidRDefault="00B5239C" w:rsidP="00B5239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E7B" w:rsidRPr="00DA1E94" w:rsidTr="007F17D5">
        <w:trPr>
          <w:trHeight w:val="7196"/>
        </w:trPr>
        <w:tc>
          <w:tcPr>
            <w:tcW w:w="729" w:type="dxa"/>
            <w:shd w:val="clear" w:color="auto" w:fill="auto"/>
          </w:tcPr>
          <w:p w:rsidR="00B36E7B" w:rsidRPr="00DA1E94" w:rsidRDefault="00B36E7B" w:rsidP="00B36E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624" w:type="dxa"/>
            <w:shd w:val="clear" w:color="auto" w:fill="auto"/>
          </w:tcPr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Чувашской Республике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440 ед. в 2024 г.:</w:t>
            </w:r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20.12.2019 - 64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20.12.2020 - 160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20.12.2021 - 255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20.12.2022 - 326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20.12.2023 - 390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B36E7B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20.12.2024 - 440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B36E7B" w:rsidRPr="00DA1E94" w:rsidRDefault="00B36E7B" w:rsidP="00167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  <w:r w:rsidR="00167A0E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A0E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20.12.2024</w:t>
            </w:r>
          </w:p>
        </w:tc>
        <w:tc>
          <w:tcPr>
            <w:tcW w:w="8114" w:type="dxa"/>
            <w:shd w:val="clear" w:color="auto" w:fill="auto"/>
          </w:tcPr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Реализованы комплексные программы по вовлечению населения в предпринимательскую деятельность в Чувашской Республике.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 этапы: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</w:t>
            </w:r>
            <w:r w:rsidR="00167A0E"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Чувашской Республике 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реализованы массовые обучающие программы, направленные на развитие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мероприятия, направленные на выявление у участников предрасположенностей к профессиональным навыкам и компетенциям;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обучающие мероприятия, направленные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Проведены обучающие мероприятия для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граждан, в том числе разъясняющие особенности специального налогового режима для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граждан, предусмотренного пилотным проектом 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IT-форме,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постановку на учет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 и администрирование налога;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Реализованы программы и проекты, направленные на вовлечение в предпринимательскую деятельность молодежи в возрасте 14 - 17 лет; 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региональные этапы всероссийских и международных мероприятий (конкурсов, премий и т.д.);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Реализованы проекты по наставничеству;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публичные мероприятия (форумы, конференции, слеты и т.д.), для участников Проекта.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предпринимателей - участников </w:t>
            </w:r>
            <w:r w:rsidR="00051A6B"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регионального проекта 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международных экономических площадках.</w:t>
            </w:r>
          </w:p>
          <w:p w:rsidR="00B36E7B" w:rsidRPr="00DA1E94" w:rsidRDefault="00B36E7B" w:rsidP="00203342">
            <w:pPr>
              <w:tabs>
                <w:tab w:val="left" w:pos="459"/>
              </w:tabs>
              <w:spacing w:after="0" w:line="240" w:lineRule="atLeast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42B" w:rsidRPr="00DA1E94" w:rsidRDefault="0048142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093"/>
        <w:gridCol w:w="1218"/>
        <w:gridCol w:w="1134"/>
        <w:gridCol w:w="1275"/>
        <w:gridCol w:w="1276"/>
        <w:gridCol w:w="1276"/>
        <w:gridCol w:w="1276"/>
        <w:gridCol w:w="1577"/>
      </w:tblGrid>
      <w:tr w:rsidR="001B4FFE" w:rsidRPr="00DA1E94" w:rsidTr="001B4FFE">
        <w:trPr>
          <w:trHeight w:hRule="exact" w:val="429"/>
        </w:trPr>
        <w:tc>
          <w:tcPr>
            <w:tcW w:w="1512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B4FFE" w:rsidRPr="00DA1E94" w:rsidRDefault="00232ECA" w:rsidP="001B4FFE">
            <w:pPr>
              <w:spacing w:after="0" w:line="230" w:lineRule="auto"/>
              <w:jc w:val="center"/>
              <w:rPr>
                <w:rFonts w:eastAsiaTheme="minorEastAsia"/>
                <w:sz w:val="2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Финансовое обеспечение реализации регионального проекта</w:t>
            </w:r>
          </w:p>
        </w:tc>
      </w:tr>
      <w:tr w:rsidR="001B4FFE" w:rsidRPr="00DA1E94" w:rsidTr="001B4FFE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№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п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74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Всего</w:t>
            </w:r>
          </w:p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(млн. рублей)</w:t>
            </w:r>
          </w:p>
        </w:tc>
      </w:tr>
      <w:tr w:rsidR="001B4FFE" w:rsidRPr="00DA1E94" w:rsidTr="001B4FFE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50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B4FFE" w:rsidRPr="00DA1E94" w:rsidTr="001B4FFE">
        <w:trPr>
          <w:trHeight w:hRule="exact" w:val="2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9</w:t>
            </w:r>
          </w:p>
        </w:tc>
      </w:tr>
      <w:tr w:rsidR="001B4FFE" w:rsidRPr="00DA1E94" w:rsidTr="001B4FFE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412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4FFE" w:rsidRPr="00DA1E94" w:rsidRDefault="001B4FFE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Результат федерального проекта (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 паспорта федерального проекта):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62000 ед. в 2024 г.</w:t>
            </w:r>
            <w:r w:rsidRPr="00DA1E94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  <w:lang w:eastAsia="ru-RU"/>
              </w:rPr>
              <w:t>0</w:t>
            </w:r>
          </w:p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5F270F" w:rsidRPr="00DA1E94" w:rsidTr="001B4FFE">
        <w:trPr>
          <w:trHeight w:val="264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1.1</w:t>
            </w:r>
          </w:p>
        </w:tc>
        <w:tc>
          <w:tcPr>
            <w:tcW w:w="5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575D9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Чувашской Республике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440 ед. в 2024 году</w:t>
            </w:r>
          </w:p>
        </w:tc>
        <w:tc>
          <w:tcPr>
            <w:tcW w:w="12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4,31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4,24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4,24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6,87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8,89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8,99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37,54</w:t>
            </w:r>
          </w:p>
        </w:tc>
      </w:tr>
      <w:tr w:rsidR="005F270F" w:rsidRPr="00DA1E94" w:rsidTr="001B4FFE">
        <w:trPr>
          <w:trHeight w:val="24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50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5F270F" w:rsidRPr="00DA1E94" w:rsidTr="001B4FFE">
        <w:trPr>
          <w:trHeight w:hRule="exact" w:val="716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федеральный бюджет (в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т.ч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0655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0655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  <w:t>37,12</w:t>
            </w:r>
          </w:p>
        </w:tc>
      </w:tr>
      <w:tr w:rsidR="005F270F" w:rsidRPr="00DA1E94" w:rsidTr="001B4FFE">
        <w:trPr>
          <w:trHeight w:hRule="exact" w:val="892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бюджеты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государственных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внебюджетных 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фондов Российской Федерации и их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территориальных фондов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716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консолидированный бюджет субъекта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Российской Федерации, в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т.ч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.: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0,42</w:t>
            </w:r>
          </w:p>
        </w:tc>
      </w:tr>
      <w:tr w:rsidR="005F270F" w:rsidRPr="00DA1E94" w:rsidTr="001B4FFE">
        <w:trPr>
          <w:trHeight w:hRule="exact" w:val="601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0,42</w:t>
            </w:r>
          </w:p>
        </w:tc>
      </w:tr>
      <w:tr w:rsidR="005F270F" w:rsidRPr="00DA1E94" w:rsidTr="001B4FFE">
        <w:trPr>
          <w:trHeight w:hRule="exact" w:val="880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99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570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551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Всего по региональному проекту, в том числе: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4,31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6,87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8,89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8,99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37,54</w:t>
            </w:r>
          </w:p>
        </w:tc>
      </w:tr>
      <w:tr w:rsidR="005F270F" w:rsidRPr="00DA1E94" w:rsidTr="0062663E">
        <w:trPr>
          <w:trHeight w:hRule="exact" w:val="86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федеральный бюджет (в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т.ч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  <w:t>37,12</w:t>
            </w:r>
          </w:p>
        </w:tc>
      </w:tr>
      <w:tr w:rsidR="005F270F" w:rsidRPr="00DA1E94" w:rsidTr="001B4FFE">
        <w:trPr>
          <w:trHeight w:hRule="exact" w:val="100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бюджеты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государственных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внебюджетных 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фондов Российской Федерации и их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территориальных фондов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717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консолидированный бюджет субъекта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Российской Федерации, в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т.ч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.: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0,42</w:t>
            </w:r>
          </w:p>
        </w:tc>
      </w:tr>
      <w:tr w:rsidR="005F270F" w:rsidRPr="00DA1E94" w:rsidTr="001B4FFE">
        <w:trPr>
          <w:trHeight w:hRule="exact" w:val="57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0,42</w:t>
            </w:r>
          </w:p>
        </w:tc>
      </w:tr>
      <w:tr w:rsidR="005F270F" w:rsidRPr="00DA1E94" w:rsidTr="001B4FFE">
        <w:trPr>
          <w:trHeight w:hRule="exact" w:val="100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100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57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</w:tbl>
    <w:p w:rsidR="001B4FFE" w:rsidRPr="00DA1E94" w:rsidRDefault="001B4FFE" w:rsidP="007F17D5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7F17D5" w:rsidRPr="00DA1E94" w:rsidRDefault="007F17D5" w:rsidP="007F17D5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7F17D5" w:rsidRPr="00DA1E94" w:rsidRDefault="007F17D5" w:rsidP="007F17D5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7F17D5" w:rsidRPr="00DA1E94" w:rsidRDefault="007F17D5" w:rsidP="007F17D5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tbl>
      <w:tblPr>
        <w:tblW w:w="24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1843"/>
        <w:gridCol w:w="1843"/>
        <w:gridCol w:w="1843"/>
        <w:gridCol w:w="1843"/>
        <w:gridCol w:w="1843"/>
        <w:gridCol w:w="1843"/>
      </w:tblGrid>
      <w:tr w:rsidR="001B4FFE" w:rsidRPr="00DA1E94" w:rsidTr="00BD36BC">
        <w:trPr>
          <w:gridAfter w:val="5"/>
          <w:wAfter w:w="9215" w:type="dxa"/>
          <w:trHeight w:hRule="exact" w:val="430"/>
        </w:trPr>
        <w:tc>
          <w:tcPr>
            <w:tcW w:w="1516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Участники регионального проекта</w:t>
            </w:r>
          </w:p>
          <w:p w:rsidR="009D2B97" w:rsidRPr="00DA1E94" w:rsidRDefault="009D2B97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B4FFE" w:rsidRPr="00DA1E94" w:rsidTr="00BD36BC">
        <w:trPr>
          <w:gridAfter w:val="5"/>
          <w:wAfter w:w="9215" w:type="dxa"/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2B97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№ </w:t>
            </w:r>
          </w:p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п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Занятость в проекте</w:t>
            </w:r>
          </w:p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(процентов)</w:t>
            </w:r>
          </w:p>
        </w:tc>
      </w:tr>
      <w:tr w:rsidR="001B4FFE" w:rsidRPr="00DA1E94" w:rsidTr="00BD36BC">
        <w:trPr>
          <w:gridAfter w:val="5"/>
          <w:wAfter w:w="9215" w:type="dxa"/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6</w:t>
            </w:r>
          </w:p>
        </w:tc>
      </w:tr>
      <w:tr w:rsidR="006E59EC" w:rsidRPr="00DA1E94" w:rsidTr="006E59EC">
        <w:trPr>
          <w:gridAfter w:val="5"/>
          <w:wAfter w:w="9215" w:type="dxa"/>
          <w:trHeight w:hRule="exact" w:val="617"/>
        </w:trPr>
        <w:tc>
          <w:tcPr>
            <w:tcW w:w="151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6E59E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Общие организационные мероприятия по региональному проекту</w:t>
            </w:r>
          </w:p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</w:tr>
      <w:tr w:rsidR="006E59EC" w:rsidRPr="00DA1E94" w:rsidTr="007F17D5">
        <w:trPr>
          <w:gridAfter w:val="5"/>
          <w:wAfter w:w="9215" w:type="dxa"/>
          <w:trHeight w:hRule="exact" w:val="17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Куратор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Моторин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И.Б., Председатель Кабинета Министров Чувашской Республики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10</w:t>
            </w:r>
          </w:p>
        </w:tc>
      </w:tr>
      <w:tr w:rsidR="006E59EC" w:rsidRPr="00DA1E94" w:rsidTr="007F17D5">
        <w:trPr>
          <w:gridAfter w:val="5"/>
          <w:wAfter w:w="9215" w:type="dxa"/>
          <w:trHeight w:hRule="exact" w:val="17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216E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 С.В.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Ананьева С.И., </w:t>
            </w:r>
          </w:p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врио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министра экономического развития, промышленности и торговли Чувашской Республики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7F17D5">
        <w:trPr>
          <w:gridAfter w:val="5"/>
          <w:wAfter w:w="9215" w:type="dxa"/>
          <w:trHeight w:hRule="exact" w:val="16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Магомедова З.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 С. В.,</w:t>
            </w:r>
          </w:p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заместитель министра экономического развития, промышленности и торговли Чувашской Республики</w:t>
            </w:r>
          </w:p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7F17D5">
        <w:trPr>
          <w:gridAfter w:val="5"/>
          <w:wAfter w:w="9215" w:type="dxa"/>
          <w:trHeight w:hRule="exact" w:val="311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Викторов В. О.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 С. В.,</w:t>
            </w:r>
          </w:p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80</w:t>
            </w:r>
          </w:p>
        </w:tc>
      </w:tr>
      <w:tr w:rsidR="006E59EC" w:rsidRPr="00DA1E94" w:rsidTr="003D19D0">
        <w:trPr>
          <w:trHeight w:hRule="exact" w:val="983"/>
        </w:trPr>
        <w:tc>
          <w:tcPr>
            <w:tcW w:w="151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59EC" w:rsidRPr="00DA1E94" w:rsidRDefault="006E59EC" w:rsidP="006E59EC">
            <w:pPr>
              <w:spacing w:after="0" w:line="230" w:lineRule="auto"/>
              <w:jc w:val="both"/>
              <w:rPr>
                <w:rFonts w:eastAsiaTheme="minorEastAsia"/>
                <w:sz w:val="2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Чувашской Республике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440 ед. в 2024 году</w:t>
            </w: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6E59EC" w:rsidRPr="00DA1E94" w:rsidTr="00BD36BC">
        <w:trPr>
          <w:gridAfter w:val="5"/>
          <w:wAfter w:w="9215" w:type="dxa"/>
          <w:trHeight w:hRule="exact" w:val="167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5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Ответственный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Викторов В. О.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 С.В.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80</w:t>
            </w:r>
          </w:p>
        </w:tc>
      </w:tr>
      <w:tr w:rsidR="006E59EC" w:rsidRPr="00DA1E94" w:rsidTr="007F17D5">
        <w:trPr>
          <w:gridAfter w:val="5"/>
          <w:wAfter w:w="9215" w:type="dxa"/>
          <w:trHeight w:hRule="exact" w:val="133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6E59EC" w:rsidRPr="00DA1E94" w:rsidTr="00BD36BC">
        <w:trPr>
          <w:gridAfter w:val="5"/>
          <w:wAfter w:w="9215" w:type="dxa"/>
          <w:trHeight w:hRule="exact" w:val="194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6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Михайлов А. В.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начальник отдела «Центр поддержки предпринимательства» автономного учреждения Чувашской Республики «Республиканский бизнес-инкубатор по поддержке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Викторов В.О.</w:t>
            </w:r>
            <w:r w:rsidRPr="00DA1E94">
              <w:t xml:space="preserve">,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руководитель автономного учреждения Чувашской Республики «Республиканский бизнес-инкубатор по поддержке малого и среднего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20</w:t>
            </w:r>
          </w:p>
        </w:tc>
      </w:tr>
      <w:tr w:rsidR="006E59EC" w:rsidRPr="00DA1E94" w:rsidTr="00BD36BC">
        <w:trPr>
          <w:gridAfter w:val="5"/>
          <w:wAfter w:w="9215" w:type="dxa"/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6E59EC" w:rsidRPr="00DA1E94" w:rsidTr="007F17D5">
        <w:trPr>
          <w:gridAfter w:val="5"/>
          <w:wAfter w:w="9215" w:type="dxa"/>
          <w:trHeight w:hRule="exact" w:val="18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Иванов Е.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главный специалист-эксперт отдела развития предпринимательства  и ремесел Минэкономразвития Чувашии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Магомедова З. П., начальник отдела развития предпринимательства и ремесел Минэкономразвития Чувашии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BD36BC">
        <w:trPr>
          <w:gridAfter w:val="5"/>
          <w:wAfter w:w="9215" w:type="dxa"/>
          <w:trHeight w:hRule="exact" w:val="194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Григорьева А. Л.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Викторов В.О.</w:t>
            </w:r>
            <w:r w:rsidRPr="00DA1E94">
              <w:t xml:space="preserve">,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BD36BC">
        <w:trPr>
          <w:gridAfter w:val="5"/>
          <w:wAfter w:w="9215" w:type="dxa"/>
          <w:trHeight w:hRule="exact" w:val="19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6E59EC" w:rsidRPr="00DA1E94" w:rsidTr="009418A2">
        <w:trPr>
          <w:gridAfter w:val="5"/>
          <w:wAfter w:w="9215" w:type="dxa"/>
          <w:trHeight w:hRule="exact" w:val="180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Федорова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консультант отдела развития предпринимательства и ремесел Минэкономразвития Чувашии 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Магомедова З. П., начальник отдела развития предпринимательства и ремесел Минэкономразвития Чувашии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BD36BC">
        <w:trPr>
          <w:gridAfter w:val="5"/>
          <w:wAfter w:w="9215" w:type="dxa"/>
          <w:trHeight w:hRule="exact" w:val="194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10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Кузьмин Н. В.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Михайлов А. В., начальник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C60FCA">
        <w:trPr>
          <w:gridAfter w:val="5"/>
          <w:wAfter w:w="9215" w:type="dxa"/>
          <w:trHeight w:hRule="exact" w:val="244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48142B" w:rsidRDefault="0048142B" w:rsidP="00C647B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2EE" w:rsidRPr="00DA1E94" w:rsidRDefault="00AA72EE" w:rsidP="00AA7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E94">
        <w:rPr>
          <w:rFonts w:ascii="Times New Roman" w:hAnsi="Times New Roman" w:cs="Times New Roman"/>
          <w:sz w:val="24"/>
          <w:szCs w:val="24"/>
        </w:rPr>
        <w:lastRenderedPageBreak/>
        <w:t>6. Дополнительная информация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AA72EE" w:rsidRPr="00AA72EE" w:rsidTr="007F17D5">
        <w:trPr>
          <w:trHeight w:val="958"/>
        </w:trPr>
        <w:tc>
          <w:tcPr>
            <w:tcW w:w="15276" w:type="dxa"/>
            <w:shd w:val="clear" w:color="auto" w:fill="auto"/>
            <w:vAlign w:val="center"/>
          </w:tcPr>
          <w:p w:rsidR="00DC4390" w:rsidRPr="00DA1E94" w:rsidRDefault="00AA72EE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«Популяризация  предпринимательства» предусматривает </w:t>
            </w:r>
            <w:r w:rsidR="00DC4390"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следующий </w:t>
            </w: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мер по</w:t>
            </w:r>
            <w:r w:rsidR="00DC4390"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формированию положительного образа предпринимателя: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информационной кампани</w:t>
            </w:r>
            <w:r w:rsidR="000C0613"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направленной на создание положительного образа предпринимателя;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реализация массовых обучающих программ, направленных на развитие </w:t>
            </w:r>
            <w:proofErr w:type="spell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мероприятий, направленных на выявление у участников предрасположенностей к профессиональным навыкам и компетенциям;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обучающих мероприятий, направленных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обучающих мероприятий для </w:t>
            </w:r>
            <w:proofErr w:type="spell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в том числе разъясняющие особенности специального налогового режима для </w:t>
            </w:r>
            <w:proofErr w:type="spell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предусмотренного пилотным проектом и IT-форме, обеспечивающей постановку на учет </w:t>
            </w:r>
            <w:proofErr w:type="spell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и администрирование налога;</w:t>
            </w:r>
            <w:proofErr w:type="gramEnd"/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реализацию программы и проектов, направленных на вовлечение в предпринимательскую деятельность молодежи в возрасте 14 - 17 лет; 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региональных этапов всероссийских и международных мероприятий (конкурсов, премий и т.д.);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проектов по наставничеству;</w:t>
            </w:r>
          </w:p>
          <w:p w:rsidR="00876C1F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публичных мероприятия (форумов, конференций, слетов и т.д.), для участников Проекта;</w:t>
            </w:r>
          </w:p>
          <w:p w:rsidR="00AA72EE" w:rsidRPr="00876C1F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участия предпринимателей - участников Проекта в международных экономических площадках.</w:t>
            </w:r>
          </w:p>
        </w:tc>
      </w:tr>
    </w:tbl>
    <w:p w:rsidR="00AA72EE" w:rsidRPr="005A78DD" w:rsidRDefault="00AA72EE" w:rsidP="00876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72EE" w:rsidRPr="005A78DD" w:rsidSect="00CC19D6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D0" w:rsidRDefault="003D19D0" w:rsidP="00232ECA">
      <w:pPr>
        <w:spacing w:after="0" w:line="240" w:lineRule="auto"/>
      </w:pPr>
      <w:r>
        <w:separator/>
      </w:r>
    </w:p>
  </w:endnote>
  <w:endnote w:type="continuationSeparator" w:id="0">
    <w:p w:rsidR="003D19D0" w:rsidRDefault="003D19D0" w:rsidP="0023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D0" w:rsidRDefault="003D19D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D0" w:rsidRPr="006C0B5A" w:rsidRDefault="003D19D0" w:rsidP="006C0B5A">
    <w:pPr>
      <w:pStyle w:val="a5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D0" w:rsidRDefault="003D19D0" w:rsidP="00232ECA">
      <w:pPr>
        <w:spacing w:after="0" w:line="240" w:lineRule="auto"/>
      </w:pPr>
      <w:r>
        <w:separator/>
      </w:r>
    </w:p>
  </w:footnote>
  <w:footnote w:type="continuationSeparator" w:id="0">
    <w:p w:rsidR="003D19D0" w:rsidRDefault="003D19D0" w:rsidP="0023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18372"/>
      <w:docPartObj>
        <w:docPartGallery w:val="Page Numbers (Top of Page)"/>
        <w:docPartUnique/>
      </w:docPartObj>
    </w:sdtPr>
    <w:sdtEndPr/>
    <w:sdtContent>
      <w:p w:rsidR="003D19D0" w:rsidRDefault="003D19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9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D19D0" w:rsidRDefault="003D19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D0" w:rsidRDefault="003D19D0">
    <w:pPr>
      <w:pStyle w:val="a3"/>
      <w:jc w:val="center"/>
    </w:pPr>
  </w:p>
  <w:p w:rsidR="003D19D0" w:rsidRDefault="003D19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E4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838"/>
    <w:multiLevelType w:val="multilevel"/>
    <w:tmpl w:val="A044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2">
    <w:nsid w:val="192727B8"/>
    <w:multiLevelType w:val="hybridMultilevel"/>
    <w:tmpl w:val="55D2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421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2245"/>
    <w:multiLevelType w:val="hybridMultilevel"/>
    <w:tmpl w:val="E46CC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C33D2A"/>
    <w:multiLevelType w:val="hybridMultilevel"/>
    <w:tmpl w:val="7486A33C"/>
    <w:lvl w:ilvl="0" w:tplc="2F8EE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C1F8C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71357"/>
    <w:multiLevelType w:val="hybridMultilevel"/>
    <w:tmpl w:val="398E86D0"/>
    <w:lvl w:ilvl="0" w:tplc="2F8EE9D0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42127DF0"/>
    <w:multiLevelType w:val="hybridMultilevel"/>
    <w:tmpl w:val="58B2317E"/>
    <w:lvl w:ilvl="0" w:tplc="5CB61D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E4C6F"/>
    <w:multiLevelType w:val="hybridMultilevel"/>
    <w:tmpl w:val="1BEEE108"/>
    <w:lvl w:ilvl="0" w:tplc="5CB61D20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D05069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4728F"/>
    <w:multiLevelType w:val="hybridMultilevel"/>
    <w:tmpl w:val="6206FDB0"/>
    <w:lvl w:ilvl="0" w:tplc="5CB61D20">
      <w:start w:val="1"/>
      <w:numFmt w:val="bullet"/>
      <w:lvlText w:val="-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62EA7939"/>
    <w:multiLevelType w:val="hybridMultilevel"/>
    <w:tmpl w:val="842892A8"/>
    <w:lvl w:ilvl="0" w:tplc="2F8EE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E3CFD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A"/>
    <w:rsid w:val="00002485"/>
    <w:rsid w:val="00003057"/>
    <w:rsid w:val="0002515C"/>
    <w:rsid w:val="00051A6B"/>
    <w:rsid w:val="00052729"/>
    <w:rsid w:val="0005364B"/>
    <w:rsid w:val="000655B3"/>
    <w:rsid w:val="00082123"/>
    <w:rsid w:val="00084A38"/>
    <w:rsid w:val="00094E48"/>
    <w:rsid w:val="000A4610"/>
    <w:rsid w:val="000B5A1F"/>
    <w:rsid w:val="000C0613"/>
    <w:rsid w:val="000C0C62"/>
    <w:rsid w:val="000C3994"/>
    <w:rsid w:val="000E5376"/>
    <w:rsid w:val="000E65AE"/>
    <w:rsid w:val="001013B5"/>
    <w:rsid w:val="00101B52"/>
    <w:rsid w:val="00113D60"/>
    <w:rsid w:val="001209BB"/>
    <w:rsid w:val="001256B1"/>
    <w:rsid w:val="001429B1"/>
    <w:rsid w:val="00156670"/>
    <w:rsid w:val="00164DF3"/>
    <w:rsid w:val="00166504"/>
    <w:rsid w:val="00167A0E"/>
    <w:rsid w:val="001706AB"/>
    <w:rsid w:val="00177FF9"/>
    <w:rsid w:val="0018411D"/>
    <w:rsid w:val="00184BFA"/>
    <w:rsid w:val="00184FA0"/>
    <w:rsid w:val="00191DC7"/>
    <w:rsid w:val="0019327A"/>
    <w:rsid w:val="001B29B0"/>
    <w:rsid w:val="001B4FFE"/>
    <w:rsid w:val="001D1AED"/>
    <w:rsid w:val="001D7ABE"/>
    <w:rsid w:val="002030E0"/>
    <w:rsid w:val="00203342"/>
    <w:rsid w:val="00212E03"/>
    <w:rsid w:val="00216ED5"/>
    <w:rsid w:val="00232ECA"/>
    <w:rsid w:val="002810AC"/>
    <w:rsid w:val="0028225C"/>
    <w:rsid w:val="002B28B9"/>
    <w:rsid w:val="002B5404"/>
    <w:rsid w:val="002C35BE"/>
    <w:rsid w:val="002C48C1"/>
    <w:rsid w:val="002C5E34"/>
    <w:rsid w:val="002E1F63"/>
    <w:rsid w:val="002F1246"/>
    <w:rsid w:val="003062F1"/>
    <w:rsid w:val="00334FB4"/>
    <w:rsid w:val="00370F04"/>
    <w:rsid w:val="00396A77"/>
    <w:rsid w:val="003C214B"/>
    <w:rsid w:val="003C34DD"/>
    <w:rsid w:val="003D19D0"/>
    <w:rsid w:val="003D3953"/>
    <w:rsid w:val="003D4659"/>
    <w:rsid w:val="003D6997"/>
    <w:rsid w:val="003D7D2B"/>
    <w:rsid w:val="003F07D2"/>
    <w:rsid w:val="003F0C34"/>
    <w:rsid w:val="00405494"/>
    <w:rsid w:val="00417316"/>
    <w:rsid w:val="00440C53"/>
    <w:rsid w:val="004541D4"/>
    <w:rsid w:val="0048142B"/>
    <w:rsid w:val="00491072"/>
    <w:rsid w:val="00496D3D"/>
    <w:rsid w:val="004B3D5A"/>
    <w:rsid w:val="004D14F0"/>
    <w:rsid w:val="004E4653"/>
    <w:rsid w:val="004F13AF"/>
    <w:rsid w:val="004F2C85"/>
    <w:rsid w:val="005040F2"/>
    <w:rsid w:val="00505663"/>
    <w:rsid w:val="00515897"/>
    <w:rsid w:val="00525D78"/>
    <w:rsid w:val="005407AB"/>
    <w:rsid w:val="005411B5"/>
    <w:rsid w:val="005625A2"/>
    <w:rsid w:val="005629E8"/>
    <w:rsid w:val="00575D90"/>
    <w:rsid w:val="005913CA"/>
    <w:rsid w:val="00596134"/>
    <w:rsid w:val="005A5032"/>
    <w:rsid w:val="005A78DD"/>
    <w:rsid w:val="005B1686"/>
    <w:rsid w:val="005C3FB7"/>
    <w:rsid w:val="005C613F"/>
    <w:rsid w:val="005E2265"/>
    <w:rsid w:val="005E3871"/>
    <w:rsid w:val="005F1261"/>
    <w:rsid w:val="005F270F"/>
    <w:rsid w:val="005F399E"/>
    <w:rsid w:val="005F54ED"/>
    <w:rsid w:val="0060250A"/>
    <w:rsid w:val="00620D91"/>
    <w:rsid w:val="006250F9"/>
    <w:rsid w:val="0062663E"/>
    <w:rsid w:val="00635810"/>
    <w:rsid w:val="00652351"/>
    <w:rsid w:val="006545DD"/>
    <w:rsid w:val="006567A6"/>
    <w:rsid w:val="00661A18"/>
    <w:rsid w:val="00661E00"/>
    <w:rsid w:val="00665C95"/>
    <w:rsid w:val="0069623C"/>
    <w:rsid w:val="006A2D69"/>
    <w:rsid w:val="006A3169"/>
    <w:rsid w:val="006B05AC"/>
    <w:rsid w:val="006C0B5A"/>
    <w:rsid w:val="006C40A8"/>
    <w:rsid w:val="006E1DF6"/>
    <w:rsid w:val="006E59EC"/>
    <w:rsid w:val="00710101"/>
    <w:rsid w:val="00710C07"/>
    <w:rsid w:val="00711ABE"/>
    <w:rsid w:val="00730926"/>
    <w:rsid w:val="007324F5"/>
    <w:rsid w:val="007608DA"/>
    <w:rsid w:val="00781045"/>
    <w:rsid w:val="00792646"/>
    <w:rsid w:val="007C5BEA"/>
    <w:rsid w:val="007C7DEC"/>
    <w:rsid w:val="007F0BF2"/>
    <w:rsid w:val="007F17D5"/>
    <w:rsid w:val="00802B9B"/>
    <w:rsid w:val="00804D85"/>
    <w:rsid w:val="0083065B"/>
    <w:rsid w:val="00846470"/>
    <w:rsid w:val="0086073E"/>
    <w:rsid w:val="0086108E"/>
    <w:rsid w:val="00876C1F"/>
    <w:rsid w:val="0088792A"/>
    <w:rsid w:val="00895DFF"/>
    <w:rsid w:val="008976F1"/>
    <w:rsid w:val="008B333D"/>
    <w:rsid w:val="008B3683"/>
    <w:rsid w:val="009418A2"/>
    <w:rsid w:val="00980B1A"/>
    <w:rsid w:val="009866C7"/>
    <w:rsid w:val="009B1645"/>
    <w:rsid w:val="009B573C"/>
    <w:rsid w:val="009C02F0"/>
    <w:rsid w:val="009C3DC5"/>
    <w:rsid w:val="009C3F37"/>
    <w:rsid w:val="009D2B97"/>
    <w:rsid w:val="009D73DE"/>
    <w:rsid w:val="009E45BF"/>
    <w:rsid w:val="009E4AF5"/>
    <w:rsid w:val="00A275EA"/>
    <w:rsid w:val="00A32016"/>
    <w:rsid w:val="00A326D6"/>
    <w:rsid w:val="00A344BE"/>
    <w:rsid w:val="00A42E13"/>
    <w:rsid w:val="00A43E24"/>
    <w:rsid w:val="00A45653"/>
    <w:rsid w:val="00A533DC"/>
    <w:rsid w:val="00A721D2"/>
    <w:rsid w:val="00A747BC"/>
    <w:rsid w:val="00A8096B"/>
    <w:rsid w:val="00AA72EE"/>
    <w:rsid w:val="00AC0C8E"/>
    <w:rsid w:val="00AF6016"/>
    <w:rsid w:val="00B0145D"/>
    <w:rsid w:val="00B10391"/>
    <w:rsid w:val="00B11E56"/>
    <w:rsid w:val="00B144C8"/>
    <w:rsid w:val="00B316DD"/>
    <w:rsid w:val="00B36E7B"/>
    <w:rsid w:val="00B5239C"/>
    <w:rsid w:val="00B5783D"/>
    <w:rsid w:val="00B65268"/>
    <w:rsid w:val="00B65269"/>
    <w:rsid w:val="00B7415C"/>
    <w:rsid w:val="00B75942"/>
    <w:rsid w:val="00B77791"/>
    <w:rsid w:val="00B875B2"/>
    <w:rsid w:val="00BA02BC"/>
    <w:rsid w:val="00BD047C"/>
    <w:rsid w:val="00BD36BC"/>
    <w:rsid w:val="00BE242B"/>
    <w:rsid w:val="00BF4257"/>
    <w:rsid w:val="00C02BEB"/>
    <w:rsid w:val="00C05632"/>
    <w:rsid w:val="00C16CCC"/>
    <w:rsid w:val="00C174AA"/>
    <w:rsid w:val="00C23A6F"/>
    <w:rsid w:val="00C3293C"/>
    <w:rsid w:val="00C40103"/>
    <w:rsid w:val="00C60FCA"/>
    <w:rsid w:val="00C647B3"/>
    <w:rsid w:val="00C73E5E"/>
    <w:rsid w:val="00C7791C"/>
    <w:rsid w:val="00CA65B8"/>
    <w:rsid w:val="00CB609A"/>
    <w:rsid w:val="00CC19D6"/>
    <w:rsid w:val="00CC238C"/>
    <w:rsid w:val="00CC566F"/>
    <w:rsid w:val="00CD4650"/>
    <w:rsid w:val="00D00592"/>
    <w:rsid w:val="00D042AD"/>
    <w:rsid w:val="00D1655D"/>
    <w:rsid w:val="00D3616A"/>
    <w:rsid w:val="00D37228"/>
    <w:rsid w:val="00D40B11"/>
    <w:rsid w:val="00D66F92"/>
    <w:rsid w:val="00D756CE"/>
    <w:rsid w:val="00DA1E94"/>
    <w:rsid w:val="00DA27E1"/>
    <w:rsid w:val="00DA7672"/>
    <w:rsid w:val="00DB0D17"/>
    <w:rsid w:val="00DB1337"/>
    <w:rsid w:val="00DB3DE3"/>
    <w:rsid w:val="00DC4390"/>
    <w:rsid w:val="00DD5465"/>
    <w:rsid w:val="00DE1323"/>
    <w:rsid w:val="00DF425F"/>
    <w:rsid w:val="00E05496"/>
    <w:rsid w:val="00E20AF6"/>
    <w:rsid w:val="00E5062D"/>
    <w:rsid w:val="00E55EE6"/>
    <w:rsid w:val="00E66E51"/>
    <w:rsid w:val="00E74138"/>
    <w:rsid w:val="00E7611C"/>
    <w:rsid w:val="00E77446"/>
    <w:rsid w:val="00E87073"/>
    <w:rsid w:val="00E94A60"/>
    <w:rsid w:val="00E972B0"/>
    <w:rsid w:val="00F17CB7"/>
    <w:rsid w:val="00F2036C"/>
    <w:rsid w:val="00F2217D"/>
    <w:rsid w:val="00F246F6"/>
    <w:rsid w:val="00F2756F"/>
    <w:rsid w:val="00F337AF"/>
    <w:rsid w:val="00F54707"/>
    <w:rsid w:val="00F61DF9"/>
    <w:rsid w:val="00F62D06"/>
    <w:rsid w:val="00F85A77"/>
    <w:rsid w:val="00FA0486"/>
    <w:rsid w:val="00FA3D12"/>
    <w:rsid w:val="00FC796E"/>
    <w:rsid w:val="00FD115E"/>
    <w:rsid w:val="00FE24A6"/>
    <w:rsid w:val="00FE48F8"/>
    <w:rsid w:val="00FF0A0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2ECA"/>
  </w:style>
  <w:style w:type="paragraph" w:styleId="a3">
    <w:name w:val="header"/>
    <w:basedOn w:val="a"/>
    <w:link w:val="a4"/>
    <w:uiPriority w:val="99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32ECA"/>
  </w:style>
  <w:style w:type="paragraph" w:styleId="a8">
    <w:name w:val="footnote text"/>
    <w:basedOn w:val="a"/>
    <w:link w:val="a9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32ECA"/>
    <w:rPr>
      <w:vertAlign w:val="superscript"/>
    </w:rPr>
  </w:style>
  <w:style w:type="paragraph" w:styleId="ab">
    <w:name w:val="Balloon Text"/>
    <w:basedOn w:val="a"/>
    <w:link w:val="ac"/>
    <w:rsid w:val="00232EC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32E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32ECA"/>
    <w:rPr>
      <w:b/>
      <w:bCs/>
    </w:rPr>
  </w:style>
  <w:style w:type="character" w:customStyle="1" w:styleId="af0">
    <w:name w:val="Тема примечания Знак"/>
    <w:basedOn w:val="ae"/>
    <w:link w:val="af"/>
    <w:rsid w:val="00232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aliases w:val="Абзац списка для документа"/>
    <w:basedOn w:val="a"/>
    <w:link w:val="af2"/>
    <w:uiPriority w:val="34"/>
    <w:qFormat/>
    <w:rsid w:val="00232E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Абзац списка для документа Знак"/>
    <w:link w:val="af1"/>
    <w:uiPriority w:val="34"/>
    <w:locked/>
    <w:rsid w:val="00232ECA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2ECA"/>
  </w:style>
  <w:style w:type="paragraph" w:styleId="a3">
    <w:name w:val="header"/>
    <w:basedOn w:val="a"/>
    <w:link w:val="a4"/>
    <w:uiPriority w:val="99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32ECA"/>
  </w:style>
  <w:style w:type="paragraph" w:styleId="a8">
    <w:name w:val="footnote text"/>
    <w:basedOn w:val="a"/>
    <w:link w:val="a9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32ECA"/>
    <w:rPr>
      <w:vertAlign w:val="superscript"/>
    </w:rPr>
  </w:style>
  <w:style w:type="paragraph" w:styleId="ab">
    <w:name w:val="Balloon Text"/>
    <w:basedOn w:val="a"/>
    <w:link w:val="ac"/>
    <w:rsid w:val="00232EC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32E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32ECA"/>
    <w:rPr>
      <w:b/>
      <w:bCs/>
    </w:rPr>
  </w:style>
  <w:style w:type="character" w:customStyle="1" w:styleId="af0">
    <w:name w:val="Тема примечания Знак"/>
    <w:basedOn w:val="ae"/>
    <w:link w:val="af"/>
    <w:rsid w:val="00232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aliases w:val="Абзац списка для документа"/>
    <w:basedOn w:val="a"/>
    <w:link w:val="af2"/>
    <w:uiPriority w:val="34"/>
    <w:qFormat/>
    <w:rsid w:val="00232E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Абзац списка для документа Знак"/>
    <w:link w:val="af1"/>
    <w:uiPriority w:val="34"/>
    <w:locked/>
    <w:rsid w:val="00232ECA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BA3B-E56D-4F70-8FC2-24CAB279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molod4</dc:creator>
  <cp:lastModifiedBy>economy57 (Михайлова Д.А.)</cp:lastModifiedBy>
  <cp:revision>23</cp:revision>
  <cp:lastPrinted>2019-04-22T05:44:00Z</cp:lastPrinted>
  <dcterms:created xsi:type="dcterms:W3CDTF">2019-04-15T12:04:00Z</dcterms:created>
  <dcterms:modified xsi:type="dcterms:W3CDTF">2019-04-25T06:28:00Z</dcterms:modified>
</cp:coreProperties>
</file>