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80" w:rsidRPr="00F50631" w:rsidRDefault="00F92D80">
      <w:pPr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420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92D80" w:rsidRPr="00F50631" w:rsidTr="0065092A">
        <w:trPr>
          <w:cantSplit/>
          <w:trHeight w:val="1975"/>
        </w:trPr>
        <w:tc>
          <w:tcPr>
            <w:tcW w:w="4195" w:type="dxa"/>
          </w:tcPr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71FEB154" wp14:editId="52E5CB8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E2545A" w:rsidRDefault="0020135D" w:rsidP="00F92D8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</w:pPr>
            <w:r w:rsidRPr="00E2545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</w:t>
            </w:r>
            <w:r w:rsidRPr="0020135D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12.05.2016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г.</w:t>
            </w:r>
            <w:r w:rsidR="00F92D80"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20135D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15</w:t>
            </w:r>
            <w:r w:rsidR="00E2545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ru-RU"/>
              </w:rPr>
              <w:t>1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F92D80" w:rsidRPr="00F50631" w:rsidRDefault="00F92D80" w:rsidP="00F92D8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2D80" w:rsidRPr="00F50631" w:rsidRDefault="00F92D80" w:rsidP="00F92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92D80" w:rsidRPr="00F50631" w:rsidRDefault="00F92D80" w:rsidP="00F9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0135D" w:rsidRPr="00E2545A" w:rsidRDefault="0020135D" w:rsidP="0020135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</w:pPr>
            <w:r w:rsidRPr="0020135D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12.05.2016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>г.</w:t>
            </w: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№ </w:t>
            </w:r>
            <w:r w:rsidRPr="0020135D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eastAsia="ru-RU"/>
              </w:rPr>
              <w:t xml:space="preserve"> 15</w:t>
            </w:r>
            <w:r w:rsidR="00E2545A">
              <w:rPr>
                <w:rFonts w:ascii="Times New Roman" w:eastAsia="Times New Roman" w:hAnsi="Times New Roman" w:cs="Times New Roman"/>
                <w:noProof/>
                <w:color w:val="000000"/>
                <w:u w:val="single"/>
                <w:lang w:val="en-US" w:eastAsia="ru-RU"/>
              </w:rPr>
              <w:t>1</w:t>
            </w: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92D80" w:rsidRPr="00F50631" w:rsidRDefault="00F92D80" w:rsidP="00F9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5063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92D80" w:rsidRPr="00F50631" w:rsidRDefault="00F92D80" w:rsidP="00F92D80">
      <w:pPr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7E77F1" w:rsidP="007E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изменения в </w:t>
            </w:r>
            <w:r w:rsidR="00FE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муниципальную программу </w:t>
            </w:r>
            <w:r w:rsidR="00FE018C" w:rsidRPr="00FE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«Информационное общество Канашского района Чувашской Республики» на 2014-2020 годы</w:t>
            </w:r>
          </w:p>
        </w:tc>
      </w:tr>
      <w:tr w:rsidR="00F92D80" w:rsidRPr="00F50631" w:rsidTr="006B3DA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92D80" w:rsidRPr="00F50631" w:rsidRDefault="00F92D80" w:rsidP="00F9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E77F1" w:rsidRPr="007E77F1" w:rsidRDefault="00FE018C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Стратегии развития информационного общества в Российской Федерации, утвержденной Президентом Российской Федерации 7 февраля 2008 года № Пр-212,</w:t>
      </w:r>
      <w:r w:rsidR="007E77F1"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F1" w:rsidRPr="007E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Канашского района Чувашской Республики </w:t>
      </w:r>
      <w:proofErr w:type="gramStart"/>
      <w:r w:rsidR="007E77F1" w:rsidRPr="007E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7E77F1" w:rsidRPr="007E7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E018C" w:rsidRPr="00FE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«Информационное общество Канашского района Чувашской Республики» на 2014-2020 годы</w:t>
      </w:r>
      <w:r w:rsidR="00FE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E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района Чувашской Республики от 14 февраля 2014 года № 95 «Об утверждении паспорта муниципальной программы Канашского района Чувашской Республики «Информационное общество</w:t>
      </w:r>
      <w:r w:rsidR="0024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Республики»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 следующее изменение:</w:t>
      </w: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муниципальную программу «</w:t>
      </w:r>
      <w:r w:rsidR="002441EB"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</w:t>
      </w:r>
      <w:r w:rsidR="0024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Республики»</w:t>
      </w:r>
      <w:r w:rsidR="002441EB"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r w:rsidR="0024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F1" w:rsidRPr="007E77F1" w:rsidRDefault="007E77F1" w:rsidP="007E7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F1" w:rsidRPr="007E77F1" w:rsidRDefault="007E77F1" w:rsidP="00CB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B3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3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7E77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В.Н.Степанов</w:t>
      </w:r>
      <w:proofErr w:type="spellEnd"/>
    </w:p>
    <w:p w:rsidR="007E77F1" w:rsidRPr="007E77F1" w:rsidRDefault="007E77F1" w:rsidP="00F9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0E" w:rsidRDefault="00AA0E0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E018C" w:rsidRPr="00FE018C" w:rsidRDefault="002D4FB9" w:rsidP="00FE01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E018C" w:rsidRPr="00570DE3" w:rsidRDefault="00FE018C" w:rsidP="00FE01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E018C" w:rsidRPr="00570DE3" w:rsidRDefault="00FE018C" w:rsidP="00FE01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>Канашского района</w:t>
      </w:r>
    </w:p>
    <w:p w:rsidR="00FE018C" w:rsidRPr="00570DE3" w:rsidRDefault="00FE018C" w:rsidP="00FE018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>Чувашской Республики</w:t>
      </w:r>
    </w:p>
    <w:p w:rsidR="0020135D" w:rsidRPr="00E2545A" w:rsidRDefault="0020135D" w:rsidP="0020135D">
      <w:pPr>
        <w:autoSpaceDE w:val="0"/>
        <w:autoSpaceDN w:val="0"/>
        <w:adjustRightInd w:val="0"/>
        <w:spacing w:after="0" w:line="240" w:lineRule="auto"/>
        <w:ind w:left="5812" w:right="-35"/>
        <w:rPr>
          <w:rFonts w:ascii="Times New Roman" w:eastAsia="Times New Roman" w:hAnsi="Times New Roman" w:cs="Times New Roman"/>
          <w:noProof/>
          <w:color w:val="000000"/>
          <w:lang w:val="en-US" w:eastAsia="ru-RU"/>
        </w:rPr>
      </w:pPr>
      <w:r w:rsidRPr="0020135D">
        <w:rPr>
          <w:rFonts w:ascii="Times New Roman" w:eastAsia="Times New Roman" w:hAnsi="Times New Roman" w:cs="Times New Roman"/>
          <w:noProof/>
          <w:color w:val="000000"/>
          <w:u w:val="single"/>
          <w:lang w:eastAsia="ru-RU"/>
        </w:rPr>
        <w:t xml:space="preserve">12.05.2016 </w:t>
      </w:r>
      <w:r>
        <w:rPr>
          <w:rFonts w:ascii="Times New Roman" w:eastAsia="Times New Roman" w:hAnsi="Times New Roman" w:cs="Times New Roman"/>
          <w:noProof/>
          <w:color w:val="000000"/>
          <w:u w:val="single"/>
          <w:lang w:eastAsia="ru-RU"/>
        </w:rPr>
        <w:t>г.</w:t>
      </w:r>
      <w:r w:rsidRPr="00F50631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№ </w:t>
      </w:r>
      <w:r w:rsidRPr="0020135D">
        <w:rPr>
          <w:rFonts w:ascii="Times New Roman" w:eastAsia="Times New Roman" w:hAnsi="Times New Roman" w:cs="Times New Roman"/>
          <w:noProof/>
          <w:color w:val="000000"/>
          <w:u w:val="single"/>
          <w:lang w:eastAsia="ru-RU"/>
        </w:rPr>
        <w:t xml:space="preserve"> 15</w:t>
      </w:r>
      <w:r w:rsidR="00E2545A">
        <w:rPr>
          <w:rFonts w:ascii="Times New Roman" w:eastAsia="Times New Roman" w:hAnsi="Times New Roman" w:cs="Times New Roman"/>
          <w:noProof/>
          <w:color w:val="000000"/>
          <w:u w:val="single"/>
          <w:lang w:val="en-US" w:eastAsia="ru-RU"/>
        </w:rPr>
        <w:t>1</w:t>
      </w:r>
    </w:p>
    <w:p w:rsidR="00FE018C" w:rsidRDefault="00FE018C" w:rsidP="0020135D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F92D80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А С П О Р Т</w:t>
      </w:r>
    </w:p>
    <w:p w:rsidR="00F92D80" w:rsidRPr="00F50631" w:rsidRDefault="00CD67BE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</w:t>
      </w:r>
      <w:r w:rsidR="00F92D80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программы 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</w:t>
      </w:r>
      <w:r w:rsidR="004D1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190A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825CD" w:rsidRPr="0098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общество Канашского района Чувашской Республики» на 2014-2020 годы</w:t>
      </w:r>
    </w:p>
    <w:p w:rsidR="00F92D80" w:rsidRPr="00F50631" w:rsidRDefault="00F92D80" w:rsidP="00CD67B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D80" w:rsidRPr="00F50631" w:rsidRDefault="00F92D80" w:rsidP="00CD67B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1200"/>
        <w:gridCol w:w="5766"/>
      </w:tblGrid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65092A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муниципальн</w:t>
            </w:r>
            <w:r w:rsidR="00F92D80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программы 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65092A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информатизации администрации Канашского района</w:t>
            </w:r>
          </w:p>
          <w:p w:rsidR="00F92D80" w:rsidRPr="00570DE3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Соисполнители </w:t>
            </w:r>
            <w:r w:rsidR="0065092A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программы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97C82" w:rsidRPr="00570DE3" w:rsidRDefault="00AA0E0E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772B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ельские поселения</w:t>
            </w:r>
            <w:r w:rsidR="00EB1C63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EB1C63" w:rsidRPr="00570DE3" w:rsidRDefault="00EB1C63" w:rsidP="00EB1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="00697C82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«Многофункциональный центр предоставления государственных и муниципальных услуг» муниципального образования Канашский район Чувашской Республики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F92D80" w:rsidRPr="00570DE3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«Редакция </w:t>
            </w:r>
            <w:proofErr w:type="spellStart"/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Канашской</w:t>
            </w:r>
            <w:proofErr w:type="spellEnd"/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«Канаш» </w:t>
            </w:r>
            <w:proofErr w:type="spellStart"/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Мининформ</w:t>
            </w:r>
            <w:proofErr w:type="spellEnd"/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Чувашии (по согласованию);</w:t>
            </w:r>
          </w:p>
          <w:p w:rsidR="00EB1C63" w:rsidRPr="00570DE3" w:rsidRDefault="00EB1C63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«Канашская студия телевидения» (по согласованию)</w:t>
            </w:r>
          </w:p>
        </w:tc>
      </w:tr>
      <w:tr w:rsidR="00AA0E0E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0E0E" w:rsidRPr="00570DE3" w:rsidRDefault="00AA0E0E" w:rsidP="00FB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муниципальной  программы</w:t>
            </w:r>
          </w:p>
          <w:p w:rsidR="00AA0E0E" w:rsidRPr="00570DE3" w:rsidRDefault="00AA0E0E" w:rsidP="00FB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0E0E" w:rsidRPr="00570DE3" w:rsidRDefault="00AA0E0E" w:rsidP="00FB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A0E0E" w:rsidRPr="00570DE3" w:rsidRDefault="00AA0E0E" w:rsidP="00AA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Канашского района;</w:t>
            </w:r>
          </w:p>
          <w:p w:rsidR="00AA0E0E" w:rsidRPr="00570DE3" w:rsidRDefault="00AA0E0E" w:rsidP="00AA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</w:t>
            </w:r>
          </w:p>
          <w:p w:rsidR="00AA0E0E" w:rsidRPr="00570DE3" w:rsidRDefault="001E0543" w:rsidP="001E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учреждения Канашского района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 w:rsidR="004D190A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092A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программы</w:t>
            </w:r>
          </w:p>
          <w:p w:rsidR="00F92D80" w:rsidRPr="00570DE3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граждан;    </w:t>
            </w:r>
          </w:p>
          <w:p w:rsidR="00FF2B92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конкурентоспособности Канашского района Чувашской Республики;    </w:t>
            </w:r>
          </w:p>
          <w:p w:rsidR="00FF2B92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экономической, социально-политической, культурной и духовной сфер жизни общества; </w:t>
            </w:r>
          </w:p>
          <w:p w:rsidR="00F92D80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 управления на основе использования информационных и телекоммуникационных технологий</w:t>
            </w:r>
            <w:r w:rsidR="00F92D80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92D80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  <w:r w:rsidR="0065092A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программы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F2B92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   </w:t>
            </w:r>
          </w:p>
          <w:p w:rsidR="00FF2B92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муниципального 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местного самоуправления, взаимодействия гражданского общества и бизнеса с органами власти всех уровней, качества и 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оперативности предоставления государственных и муниципальных услуг;   </w:t>
            </w:r>
          </w:p>
          <w:p w:rsidR="00F92D80" w:rsidRPr="00570DE3" w:rsidRDefault="00FF2B92" w:rsidP="00FF2B92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Канашского района Чувашской Республики; совершенствование муниципальной информационной политики Канашского района Чувашской Республики, в том числе создание эффективной системы массовых коммуникаций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2021 году следующих показателей:</w:t>
            </w:r>
          </w:p>
          <w:p w:rsidR="00F40E17" w:rsidRPr="00570DE3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</w:t>
            </w:r>
            <w:r w:rsidR="001E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счете на 100 домашних хозяйств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821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процентов; </w:t>
            </w:r>
          </w:p>
          <w:p w:rsidR="00F92D80" w:rsidRPr="00570DE3" w:rsidRDefault="00F40E17" w:rsidP="00F40E17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использующих механизм получения государственных и муниципальных услуг в электронной форме, – 70 процентов</w:t>
            </w:r>
            <w:r w:rsidR="00155DD1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5DD1" w:rsidRPr="00570DE3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услуг и государственных услуг, предоставляемых </w:t>
            </w:r>
            <w:r w:rsidR="00B6772B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Канашского района Чувашской Республики, которое 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может получить в электронном виде - 100%;</w:t>
            </w:r>
          </w:p>
          <w:p w:rsidR="00155DD1" w:rsidRPr="00570DE3" w:rsidRDefault="00155DD1" w:rsidP="00155DD1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электронного документооборота между органами местного самоуправления Канашского района </w:t>
            </w:r>
            <w:r w:rsidR="001E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– 100%;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2014–2020 годы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  <w:r w:rsidR="00F92D80"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0E17" w:rsidRPr="00570DE3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9403E3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1E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на 2014-2020 годы составляет     1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 в том числе: </w:t>
            </w:r>
          </w:p>
          <w:p w:rsidR="00F40E17" w:rsidRPr="00570DE3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Канашского района Чувашской Республики 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рублей,</w:t>
            </w:r>
          </w:p>
          <w:p w:rsidR="00F40E17" w:rsidRPr="00570DE3" w:rsidRDefault="00F40E17" w:rsidP="0065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                               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2015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F40E17" w:rsidRPr="00570DE3" w:rsidRDefault="00F40E17" w:rsidP="00F40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2</w:t>
            </w:r>
            <w:r w:rsidR="00C5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рублей.</w:t>
            </w:r>
          </w:p>
          <w:p w:rsidR="00F92D80" w:rsidRPr="00570DE3" w:rsidRDefault="00F92D80" w:rsidP="001E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65092A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программы уточняются при формировании бюджета </w:t>
            </w:r>
            <w:r w:rsidR="00F57118"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района </w:t>
            </w:r>
            <w:r w:rsidR="001E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на очередной финансовый </w:t>
            </w:r>
            <w:r w:rsidR="001E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</w:tc>
      </w:tr>
      <w:tr w:rsidR="00F92D80" w:rsidRPr="00570DE3" w:rsidTr="00AA0E0E">
        <w:trPr>
          <w:tblCellSpacing w:w="15" w:type="dxa"/>
        </w:trPr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2D80" w:rsidRPr="00570DE3" w:rsidRDefault="00F57118" w:rsidP="00F4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Ожидаемый результат реализации муниципальной программы</w:t>
            </w:r>
          </w:p>
        </w:tc>
        <w:tc>
          <w:tcPr>
            <w:tcW w:w="10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D80" w:rsidRPr="00570DE3" w:rsidRDefault="00F92D80" w:rsidP="00CD6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                 </w:t>
            </w:r>
          </w:p>
        </w:tc>
        <w:tc>
          <w:tcPr>
            <w:tcW w:w="5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69FF" w:rsidRPr="00570DE3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рост числа домохозяйств, имеющих широкополосный доступ к информационно-теле-коммуникационной сети «Интернет»;</w:t>
            </w:r>
          </w:p>
          <w:p w:rsidR="001C69FF" w:rsidRPr="00570DE3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долю государственных  и муниципальных услуг, которые население может получить в электронном виде, до 100 процентов;</w:t>
            </w:r>
          </w:p>
          <w:p w:rsidR="00F92D80" w:rsidRPr="00570DE3" w:rsidRDefault="001C69FF" w:rsidP="001C69FF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информационной открытости деятельности органов местного самоуправления Канашского района Чувашской Республики.</w:t>
            </w:r>
          </w:p>
        </w:tc>
      </w:tr>
    </w:tbl>
    <w:p w:rsidR="00697C82" w:rsidRPr="00F50631" w:rsidRDefault="00F92D80" w:rsidP="00F50631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C82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45CB" w:rsidRDefault="00AA0E0E" w:rsidP="00AA0E0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I. Характеристика текущего состояния сферы реализации муниципальной программы Канашского района Чувашской Республики </w:t>
      </w:r>
      <w:r w:rsidR="001E0543"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1E0543" w:rsidRPr="0098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общество Канашского района Чувашской Республики» на 2014-2020 годы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AA0E0E" w:rsidRPr="00F50631" w:rsidRDefault="00AA0E0E" w:rsidP="00AA0E0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 его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Чувашии – современный этап развития информационно-коммуникационных технологий во всех сферах деятельности общества.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информационного общества сегодня является формирование современной информационной и телекоммуникационной инфраструктуры электронного правительства, включающей Республиканский информационный центр, удостоверяющий центр органов исполнительной власти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электронной подписи.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сельских поселений по состоянию на 01.01.201</w:t>
      </w:r>
      <w:r w:rsidRPr="008B18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расчете на 100 домохозяйств в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Канашской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количество человек, имеющих компьютер,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100 человек населения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подключено к сети Интернет, соответственно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общее количество компьютеров у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9732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из них подключено к Интернет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8391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 Что является несомненно основным показателем доступности информационных технологий.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показателем доступности к информационным технологиям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является скорость доступа к сети Интернет. По данным ОАО «Ростелеком» широкополосным Интернет обеспечены все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средняя скорость в населенных пунктах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- 256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/с, в поселениях, расположенных вокруг города Канаш и село Шихазаны – 8-10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/с. Фактором, препятствующим ускоренному развитию в Канашском районе информационного общества, является также недостаточный уровень распространения в обществе базовых навыков использования информационных технологий. Это касается как населения в целом, так и муниципальных служащих.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администрации Канашского района от 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Едином Портале государственных и муниципальных услуг (далее – ЕГПУ) зарегистрировал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служащие администрации Канашского района, также все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оформили заявление на получение универсальной электронной карты (далее –УЭК): 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развития информационного общества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 является перевод государственных и муниципальных услуг в электронный вид. В настоящее время по государственным и муниципальным услугам, предоставляемым органами местного самоуправления Канашского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-  орган местного самоуправления)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размещенным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ЕГПУ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информационно-консультационная работа с гражданами и организациями.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Планируется, что к концу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охват населения республики услугами 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функциональных центров (далее –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приблизится к 10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0%. В Канашском районе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АУ «Многофункциональный центр по предоставлению государственных и муниципальных услуг» Канашского района Чувашской Республики (далее – АУ МФЦ).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АУ МФЦ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12595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граждан на предоставление государственных и муниципальных услуг, 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2388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консультаций. С 01 июля 2013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районе действуют 24 привлекаемых организаций, заключивших Соглашение с Уполномоченным многофункциональным центром Чувашской Республики по реализации функций МФЦ по предоставлению государственных и муниципальных услуг населению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Таким образом, развитие многофункциональных центров, работающих по принципу «одного окна» сохраняет приоритетное значение.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направлением развития информационного общества является переход органов власти на межведомственное взаимодействие в рамках Федерального закона от 27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июля 2010 года №210-ФЗ «Об организации предоставления государственных и муниципальных услуг». С 01.01.2014 года подключены сервисы и в поселениях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Мининформполитики</w:t>
      </w:r>
      <w:proofErr w:type="spellEnd"/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ежеквартально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мониторинг по направленным запросам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E054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СМЭВ.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направлений работы также является обеспечение инфраструктуры и формирование баз данных органов местного самоуправления в электронном виде на межведомственном уровне, а также с населением 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становится особенно актуальным по мере дальнейшего развития муниципальных информационных систем.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2015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отдел ЗАГС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E054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в электронный вид архив записей актов гражданского состояния.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перехода на электронный документооборот в 2009 году в администрации Канашского района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E054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внедрена система электронного документооборота (далее – СЭД). В плане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конца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внедрить СЭД в администрациях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в решении данных направлений является программно-техническое обеспечение работы органов местного самоуправления, то есть обеспечение оргтехникой, легализация программных продуктов и их защита. 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невысок уровень компьютерной грамотности муниципальных служащих, что предопределяет актуальность организации их непрерывного обучения и оценки навыков использования информационных технологий в ходе предусмотренной законом периодической аттестации.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Республики </w:t>
      </w:r>
      <w:r w:rsidR="001E0543" w:rsidRP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«Информационное общество Канашского района Чувашской Республики» на 2014-2020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ежегодное выделение финансовых средств на поддержку средств массовой информации, в части освещения мероприятий, проходящих в Канашском районе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телеканале </w:t>
      </w:r>
      <w:proofErr w:type="spellStart"/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519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елевидения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напечатано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200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номеров Вестника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администрации Канашского района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опубликовано более 1000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правовых актов.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начато внесение данных на Портал открытых сведений (opendata.cap.ru) об органах местного самоуправления и подведомственных им учреждениях в форме открытых данных.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E054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сельских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54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1E0543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органов государственной власти Чувашской Республики cap.ru ведется информационное наполнение разделов о деятельности органов местного самоуправления Канашского района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7578D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порождает следующие риски ее выполнения:</w:t>
      </w:r>
    </w:p>
    <w:p w:rsidR="00AA0E0E" w:rsidRPr="00F50631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неактуальность планирования и запаздывание согласования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A0E0E" w:rsidRPr="00F50631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несбалансированное распределение финансовых средств по мероприятиям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в соответствии с ожидаемыми конечными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A0E0E" w:rsidRPr="00F50631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дублирование и несогласованность выполнения работ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A0E0E" w:rsidRPr="00F50631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пассивное сопротивление использованию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района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электронного правительства и распространению современных информационных технологий;</w:t>
      </w:r>
    </w:p>
    <w:p w:rsidR="00AA0E0E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пассивное сопротивление отдельных граждан и общественных организаций проведению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созданию информационных баз, реестров,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классификаторов и единого идентификатора граждан по этическим, моральным, культурным и религиозным причинам.</w:t>
      </w:r>
    </w:p>
    <w:p w:rsidR="00AA0E0E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0E" w:rsidRPr="00F50631" w:rsidRDefault="00AA0E0E" w:rsidP="00AA0E0E">
      <w:pPr>
        <w:tabs>
          <w:tab w:val="left" w:pos="709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0E" w:rsidRPr="00F50631" w:rsidRDefault="00AA0E0E" w:rsidP="00AA0E0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II. Приоритеты реализуемой на территории Канашского района политики в сфере развития информационных и телекоммуникационных технологий в Канашском районе Чувашской Республики, цели, задачи и показатели (индикаторы) достижения целей и решения задач, описание основных ожидаемых конечных результатов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рограммы, сроки и этапы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Стратегией развития информационного общества в Российской Федерации, утвержденной Президентом Российской Федерации 7 февраля 2008 года №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Пр-212 (далее – Стратегия), целями формирования и развития информационного общества в Российской Федерации являются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управления на основе использования информационных и телекоммуникационных технологий. Таким образом, создание информационного общества рассматривается как платформа для решения задач более высокого уровня – модернизации экономических и общественных отношений, обеспечения конституционных прав граждан и высвобождения ресурсов для личностного развития.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Стратегией также установлено, что 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муниципальной власти, то есть для создания информационного общества высокий уровень информационных технологий является необходимым, но недостаточным условием. Необходимо обеспечить возможность внедрения технологий и создать привычку их использования в повседневной жизни, что и будет являться приоритетом 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Федеральным законом от 27 июля 2006 года №149-ФЗ «Об информации, информационных технологиях и о защите информации», Федеральным законом от 27 июля 2006 г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27 июля 2010 года №210-ФЗ «Об организации предоставления государственных и муниципальных услуг», Федеральным законом от 9 февраля 2009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8-ФЗ 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</w:t>
      </w:r>
      <w:r w:rsidR="009757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совершенствование системы муниципального управления на основе использования информационных и телекоммуникационных технологий с целью получения гражданами и организациями преимуществ их применения за счет обеспечения равного доступа к информационным 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решение следующих задач: 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информационной и телекоммуникационной инфраструктуры, предоставление на ее основе качественных  услуг и обеспечение высокого уровня доступности для населения информации и технологий;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государственных и муниципальных услуг в электронный вид;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местного самоуправления, взаимодействия гражданского общества и бизнеса с органами власти всех уровней, качества и оперативности предоставления государственных и муниципальных услуг;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будет осуществляться в один этап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необходимо добиться следующих </w:t>
      </w:r>
      <w:r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A945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домашних хозяйств, имеющих доступ к сети Интернет, в расчете на 100 домашних хозяйств 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до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получении качественных и доступных государственных и муниципальных услуг в электронном виде:</w:t>
      </w:r>
    </w:p>
    <w:p w:rsidR="00AA0E0E" w:rsidRPr="00C508E0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508E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доля муниципальных и государственных услуг, предоставляемых органами местного самоуправления, которое  население может получить в электронном виде к 2021 году - 100%;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к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100%;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будет проводиться на основе анализа достижения целевых индикаторов и показателей Программы.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оценивается по следующим параметрам: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плановых значений, показателей конечного результата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контрольным значениям показателей развития информационного общества в Канашском районе Чувашской Республики;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 от реализации мероприятий Программы будет выражен в удовлетворении потребности населения в получении качественных и доступных государственных и муниципальных услуг в электронном виде, наличии широкого спектра возможностей использования информационных технологий в производственных, научных, образовательных и социальных целях. Возможности использования информационных технологий обеспечиваются за счет создания соответствующей инфраструктуры, подготовки пользователей.</w:t>
      </w:r>
    </w:p>
    <w:p w:rsidR="00AA0E0E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результатом Программы станет повышение эффективности муниципального управления и местного самоуправления, взаимодействия гражданского общества и бизнеса с органами местного самоуправления Канашского района Чувашской Республики, качества и оперативности предоставления государственных и муниципальных услуг, а также снижение стоимости обеспечения муниципального управления. Всестороннее применение информационных технологий приведет к новому качеству взаимодействия граждан, в особенности через средства электронных коммуникаций и сеть Интернет, откроет новые возможности для индивидуального развития и развития хозяйствующих субъектов всех форм собственности и органов муниципальной власти и, как следствие, повысит производительность труда, эффективность и конкурентоспособность экономики.</w:t>
      </w:r>
    </w:p>
    <w:p w:rsidR="00AA0E0E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0E" w:rsidRPr="00F50631" w:rsidRDefault="00AA0E0E" w:rsidP="00AA0E0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Обобщенная характеристика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основные мероприятия по приоритетным направлениям в сфере развития информационных и телекоммуникационных технологий в Канашском районе Чувашской Республики: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информационно-технологической и телекоммуникационной инфраструктуры Канашского района Чувашской Республики;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центров общественного доступа к информационным ресурсам Канашского района </w:t>
      </w:r>
      <w:r w:rsidR="00B2687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населению доступа к системам оказания государственных и муниципальных услуг в электронном виде;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поддержка средств массовой информации на территории Канашского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876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приведен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реализуемых в составе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 приведен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</w:t>
      </w:r>
      <w:r w:rsidR="00B268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0E" w:rsidRPr="00F50631" w:rsidRDefault="00AA0E0E" w:rsidP="00AA0E0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D9" w:rsidRDefault="00FB16D9" w:rsidP="00FB16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D9" w:rsidRPr="00FB16D9" w:rsidRDefault="00FB16D9" w:rsidP="00FB16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7E8" w:rsidRPr="00F50631" w:rsidRDefault="00FB16D9" w:rsidP="000A56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547E8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Ресурсное обеспечение </w:t>
      </w:r>
      <w:r w:rsidR="000A5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547E8" w:rsidRPr="00F5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B651EE" w:rsidRPr="00F50631" w:rsidRDefault="00B651EE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осуществляется за счет средств бюджета Канашского района Чувашской Республики (</w:t>
      </w:r>
      <w:r w:rsidR="001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FB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Главным распорядителем средств бюджета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</w:t>
      </w:r>
      <w:r w:rsidR="00FB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Канашского района.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Программы на 2014-2020 годы составляет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1760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</w:p>
    <w:p w:rsidR="008547E8" w:rsidRPr="00F50631" w:rsidRDefault="008547E8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Канашского района Чувашской Республики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 рублей, из них:</w:t>
      </w:r>
    </w:p>
    <w:p w:rsidR="006B572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2014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0A56FC" w:rsidRP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7E8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0A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06F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2018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 </w:t>
      </w:r>
    </w:p>
    <w:p w:rsidR="00CD2C1D" w:rsidRPr="00F50631" w:rsidRDefault="006B5721" w:rsidP="008547E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8547E8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CD106F" w:rsidRPr="00F50631" w:rsidRDefault="006B5721" w:rsidP="00CD106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 w:rsidR="00C508E0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CD106F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6B5721" w:rsidRDefault="006B572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5721" w:rsidSect="006B57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06F" w:rsidRDefault="00CD106F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финансирования </w:t>
      </w:r>
      <w:r w:rsidR="006B57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подлежит ежегодному уточнению исходя из реальных возможностей бюджета Канашского района Чувашской Республики</w:t>
      </w:r>
      <w:r w:rsidR="00B651EE" w:rsidRPr="00F50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6D9" w:rsidRDefault="00FB16D9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D9" w:rsidRPr="00595D69" w:rsidRDefault="00FB16D9" w:rsidP="00FB16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95D69">
        <w:rPr>
          <w:rFonts w:ascii="Times New Roman" w:hAnsi="Times New Roman"/>
          <w:b/>
          <w:sz w:val="24"/>
          <w:szCs w:val="24"/>
        </w:rPr>
        <w:t xml:space="preserve">Раздел V. Анализ рисков реализации </w:t>
      </w:r>
      <w:r w:rsidR="00430D82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16D9" w:rsidRPr="00595D69" w:rsidRDefault="00FB16D9" w:rsidP="00FB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16D9" w:rsidRPr="00595D69" w:rsidRDefault="00FB16D9" w:rsidP="00FB1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69">
        <w:rPr>
          <w:rFonts w:ascii="Times New Roman" w:hAnsi="Times New Roman"/>
          <w:sz w:val="24"/>
          <w:szCs w:val="24"/>
        </w:rPr>
        <w:t xml:space="preserve">К рискам реализации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 xml:space="preserve">, которыми может управлять ответственный исполнитель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>, уменьшая вероятность их возникновения, следует отнести следующие:</w:t>
      </w:r>
    </w:p>
    <w:p w:rsidR="00FB16D9" w:rsidRPr="00595D69" w:rsidRDefault="00FB16D9" w:rsidP="00FB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69">
        <w:rPr>
          <w:rFonts w:ascii="Times New Roman" w:hAnsi="Times New Roman"/>
          <w:sz w:val="24"/>
          <w:szCs w:val="24"/>
        </w:rPr>
        <w:t xml:space="preserve">1. Организационные риски, которые связаны с возникновением проблем в реализации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 xml:space="preserve"> в результате недостаточной квалификации и (или) недобросовестности ответственного исполнителя (соисполнителей), что может привести к нецелевому и неэффективному использованию бюджетных средств, невыполнению ряда мероприятий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>.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и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рисков.</w:t>
      </w:r>
    </w:p>
    <w:p w:rsidR="00FB16D9" w:rsidRPr="00595D69" w:rsidRDefault="00FB16D9" w:rsidP="00FB1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69">
        <w:rPr>
          <w:rFonts w:ascii="Times New Roman" w:hAnsi="Times New Roman"/>
          <w:sz w:val="24"/>
          <w:szCs w:val="24"/>
        </w:rPr>
        <w:t xml:space="preserve">2. Финансовые риски, которые связаны с финансированием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 xml:space="preserve"> в неполном объеме за счет бюджетных средств. Данные риски могут возникнуть при высокой зависимости ее успешной </w:t>
      </w:r>
      <w:r w:rsidR="008120D5" w:rsidRPr="00595D69">
        <w:rPr>
          <w:rFonts w:ascii="Times New Roman" w:hAnsi="Times New Roman"/>
          <w:sz w:val="24"/>
          <w:szCs w:val="24"/>
        </w:rPr>
        <w:t>реализации.</w:t>
      </w:r>
      <w:r w:rsidRPr="00595D69">
        <w:rPr>
          <w:rFonts w:ascii="Times New Roman" w:hAnsi="Times New Roman"/>
          <w:sz w:val="24"/>
          <w:szCs w:val="24"/>
        </w:rPr>
        <w:t xml:space="preserve"> Их снижению будет способствовать своевременная корректировка объемов финансирования основных мероприятий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 xml:space="preserve"> путем ежегодного уточнения финансирования </w:t>
      </w:r>
      <w:r w:rsidR="00430D82">
        <w:rPr>
          <w:rFonts w:ascii="Times New Roman" w:hAnsi="Times New Roman"/>
          <w:sz w:val="24"/>
          <w:szCs w:val="24"/>
        </w:rPr>
        <w:t>Программы</w:t>
      </w:r>
      <w:r w:rsidRPr="00595D69">
        <w:rPr>
          <w:rFonts w:ascii="Times New Roman" w:hAnsi="Times New Roman"/>
          <w:sz w:val="24"/>
          <w:szCs w:val="24"/>
        </w:rPr>
        <w:t>.</w:t>
      </w:r>
    </w:p>
    <w:p w:rsidR="00FB16D9" w:rsidRPr="00595D69" w:rsidRDefault="00FB16D9" w:rsidP="00FB1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69">
        <w:rPr>
          <w:rFonts w:ascii="Times New Roman" w:hAnsi="Times New Roman"/>
          <w:sz w:val="24"/>
          <w:szCs w:val="24"/>
        </w:rPr>
        <w:t>3. Непредвиденные риски, связанные с кризисными явлениями в экономике Канашского района Чувашской Республики</w:t>
      </w:r>
      <w:r w:rsidR="00A87F09">
        <w:rPr>
          <w:rFonts w:ascii="Times New Roman" w:hAnsi="Times New Roman"/>
          <w:sz w:val="24"/>
          <w:szCs w:val="24"/>
        </w:rPr>
        <w:t xml:space="preserve"> </w:t>
      </w:r>
      <w:r w:rsidRPr="00595D69">
        <w:rPr>
          <w:rFonts w:ascii="Times New Roman" w:hAnsi="Times New Roman"/>
          <w:sz w:val="24"/>
          <w:szCs w:val="24"/>
        </w:rPr>
        <w:t>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FB16D9" w:rsidRPr="00595D69" w:rsidRDefault="00FB16D9" w:rsidP="00FB1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69">
        <w:rPr>
          <w:rFonts w:ascii="Times New Roman" w:hAnsi="Times New Roman"/>
          <w:color w:val="000000"/>
          <w:sz w:val="24"/>
          <w:szCs w:val="24"/>
        </w:rPr>
        <w:t xml:space="preserve">Вышеперечисленные риски можно распределить по уровням их влияния на реализацию </w:t>
      </w:r>
      <w:r w:rsidR="00430D82"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D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16D9" w:rsidRPr="00595D69" w:rsidRDefault="00FB16D9" w:rsidP="00FB16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69">
        <w:rPr>
          <w:rFonts w:ascii="Times New Roman" w:hAnsi="Times New Roman"/>
          <w:b/>
          <w:color w:val="000000"/>
          <w:sz w:val="24"/>
          <w:szCs w:val="24"/>
        </w:rPr>
        <w:t>Характеристика рисков,</w:t>
      </w:r>
    </w:p>
    <w:p w:rsidR="00FB16D9" w:rsidRPr="00595D69" w:rsidRDefault="00FB16D9" w:rsidP="00FB16D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69">
        <w:rPr>
          <w:rFonts w:ascii="Times New Roman" w:hAnsi="Times New Roman"/>
          <w:b/>
          <w:color w:val="000000"/>
          <w:sz w:val="24"/>
          <w:szCs w:val="24"/>
        </w:rPr>
        <w:t xml:space="preserve">влияющих на реализацию </w:t>
      </w:r>
      <w:r w:rsidR="00430D82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FB16D9" w:rsidRPr="00595D69" w:rsidRDefault="00FB16D9" w:rsidP="00FB16D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3"/>
        <w:gridCol w:w="1341"/>
        <w:gridCol w:w="4021"/>
      </w:tblGrid>
      <w:tr w:rsidR="00FB16D9" w:rsidRPr="00595D69" w:rsidTr="00FB16D9">
        <w:trPr>
          <w:trHeight w:val="20"/>
          <w:tblCellSpacing w:w="5" w:type="nil"/>
        </w:trPr>
        <w:tc>
          <w:tcPr>
            <w:tcW w:w="2179" w:type="pct"/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t>Наименование риска</w:t>
            </w:r>
          </w:p>
        </w:tc>
        <w:tc>
          <w:tcPr>
            <w:tcW w:w="705" w:type="pct"/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t xml:space="preserve">Уровень </w:t>
            </w:r>
            <w:r w:rsidRPr="00595D69">
              <w:br/>
              <w:t xml:space="preserve"> влияния</w:t>
            </w:r>
          </w:p>
        </w:tc>
        <w:tc>
          <w:tcPr>
            <w:tcW w:w="2115" w:type="pct"/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t>Меры по снижению риска</w:t>
            </w:r>
          </w:p>
        </w:tc>
      </w:tr>
      <w:tr w:rsidR="00FB16D9" w:rsidRPr="00595D69" w:rsidTr="00FB16D9">
        <w:trPr>
          <w:trHeight w:val="20"/>
          <w:tblCellSpacing w:w="5" w:type="nil"/>
        </w:trPr>
        <w:tc>
          <w:tcPr>
            <w:tcW w:w="2179" w:type="pct"/>
            <w:tcBorders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>Организационные риски:</w:t>
            </w:r>
          </w:p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lastRenderedPageBreak/>
              <w:t xml:space="preserve">неактуальность прогнозирования и запаздывание разработки, согласования и выполнения мероприятий </w:t>
            </w:r>
            <w:r w:rsidR="00430D82">
              <w:t>Программы</w:t>
            </w:r>
            <w:r w:rsidRPr="00595D69">
              <w:t xml:space="preserve">; </w:t>
            </w:r>
          </w:p>
          <w:p w:rsidR="00FB16D9" w:rsidRPr="00595D69" w:rsidRDefault="00FB16D9" w:rsidP="008120D5">
            <w:pPr>
              <w:pStyle w:val="ConsPlusCell"/>
              <w:jc w:val="both"/>
            </w:pPr>
            <w:r w:rsidRPr="00595D69">
              <w:t xml:space="preserve">пассивное сопротивление отдельных организаций проведению мероприятий </w:t>
            </w:r>
            <w:r w:rsidR="00430D82">
              <w:t>Программы</w:t>
            </w:r>
          </w:p>
        </w:tc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lastRenderedPageBreak/>
              <w:t>умеренный</w:t>
            </w:r>
          </w:p>
        </w:tc>
        <w:tc>
          <w:tcPr>
            <w:tcW w:w="2115" w:type="pct"/>
            <w:tcBorders>
              <w:left w:val="nil"/>
              <w:bottom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повышение квалификации и </w:t>
            </w:r>
            <w:r w:rsidRPr="00595D69">
              <w:lastRenderedPageBreak/>
              <w:t>ответственности ответственного исполнителя и участников для своевременной и эффективной реализации предусмотренных мероприятий и координация деятельности ответственного исполнителя и участников, налаживание административных процедур для снижения организационных рисков</w:t>
            </w:r>
          </w:p>
          <w:p w:rsidR="00FB16D9" w:rsidRPr="00595D69" w:rsidRDefault="00FB16D9" w:rsidP="00FB16D9">
            <w:pPr>
              <w:pStyle w:val="ConsPlusCell"/>
              <w:jc w:val="both"/>
            </w:pPr>
          </w:p>
        </w:tc>
      </w:tr>
      <w:tr w:rsidR="00FB16D9" w:rsidRPr="00595D69" w:rsidTr="00FB16D9">
        <w:trPr>
          <w:trHeight w:val="20"/>
          <w:tblCellSpacing w:w="5" w:type="nil"/>
        </w:trPr>
        <w:tc>
          <w:tcPr>
            <w:tcW w:w="2179" w:type="pct"/>
            <w:tcBorders>
              <w:top w:val="nil"/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lastRenderedPageBreak/>
              <w:t>Финансовые риски:</w:t>
            </w:r>
          </w:p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дефицит бюджетных средств, необходимых на реализацию мероприятий </w:t>
            </w:r>
            <w:r w:rsidR="00430D82">
              <w:t>Программы</w:t>
            </w:r>
            <w:r w:rsidRPr="00595D69">
              <w:t xml:space="preserve"> </w:t>
            </w:r>
          </w:p>
          <w:p w:rsidR="00FB16D9" w:rsidRPr="00595D69" w:rsidRDefault="00FB16D9" w:rsidP="00FB16D9">
            <w:pPr>
              <w:pStyle w:val="ConsPlusCell"/>
              <w:jc w:val="both"/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t>умеренный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своевременная корректировка объемов финансирования основных мероприятий </w:t>
            </w:r>
            <w:r w:rsidR="00430D82">
              <w:t>Программы</w:t>
            </w:r>
            <w:r w:rsidRPr="00595D69">
              <w:t xml:space="preserve"> путем ежегодного уточнения финансирования </w:t>
            </w:r>
            <w:r w:rsidR="00430D82">
              <w:t>Программы</w:t>
            </w:r>
          </w:p>
          <w:p w:rsidR="00FB16D9" w:rsidRPr="00595D69" w:rsidRDefault="00FB16D9" w:rsidP="00FB16D9">
            <w:pPr>
              <w:pStyle w:val="ConsPlusCell"/>
              <w:jc w:val="both"/>
            </w:pPr>
          </w:p>
        </w:tc>
      </w:tr>
      <w:tr w:rsidR="00FB16D9" w:rsidRPr="00595D69" w:rsidTr="00FB16D9">
        <w:trPr>
          <w:trHeight w:val="20"/>
          <w:tblCellSpacing w:w="5" w:type="nil"/>
        </w:trPr>
        <w:tc>
          <w:tcPr>
            <w:tcW w:w="2179" w:type="pct"/>
            <w:tcBorders>
              <w:top w:val="nil"/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>Непредвиденные риски:</w:t>
            </w:r>
          </w:p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резкое ухудшение состояния экономики вследствие финансово-экономических кризисов; </w:t>
            </w:r>
          </w:p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природные и техногенные катастрофы и катаклизмы 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FB16D9" w:rsidRPr="00595D69" w:rsidRDefault="00FB16D9" w:rsidP="00FB16D9">
            <w:pPr>
              <w:pStyle w:val="ConsPlusCell"/>
              <w:jc w:val="center"/>
            </w:pPr>
            <w:r w:rsidRPr="00595D69">
              <w:t>высокий</w:t>
            </w:r>
          </w:p>
        </w:tc>
        <w:tc>
          <w:tcPr>
            <w:tcW w:w="2115" w:type="pct"/>
            <w:tcBorders>
              <w:top w:val="nil"/>
              <w:left w:val="nil"/>
              <w:bottom w:val="nil"/>
            </w:tcBorders>
          </w:tcPr>
          <w:p w:rsidR="00FB16D9" w:rsidRPr="00595D69" w:rsidRDefault="00FB16D9" w:rsidP="00FB16D9">
            <w:pPr>
              <w:pStyle w:val="ConsPlusCell"/>
              <w:jc w:val="both"/>
            </w:pPr>
            <w:r w:rsidRPr="00595D69">
              <w:t xml:space="preserve">осуществление прогнозирования развития ситуации в сфере охраны труда с учетом возможного ухудшения экономической ситуации </w:t>
            </w:r>
          </w:p>
        </w:tc>
      </w:tr>
    </w:tbl>
    <w:p w:rsidR="00FB16D9" w:rsidRPr="00595D69" w:rsidRDefault="00FB16D9" w:rsidP="00FB1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16D9" w:rsidRPr="00595D69" w:rsidRDefault="00FB16D9" w:rsidP="00FB1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D69">
        <w:rPr>
          <w:rFonts w:ascii="Times New Roman" w:hAnsi="Times New Roman"/>
          <w:sz w:val="24"/>
          <w:szCs w:val="24"/>
        </w:rPr>
        <w:t xml:space="preserve">В рамках управления предусмотрены прогнозирование, регулирование и координация рисков путем уточнения и внесения необходимых изменений в настоящую </w:t>
      </w:r>
      <w:r w:rsidR="008120D5">
        <w:rPr>
          <w:rFonts w:ascii="Times New Roman" w:hAnsi="Times New Roman"/>
          <w:sz w:val="24"/>
          <w:szCs w:val="24"/>
        </w:rPr>
        <w:t>П</w:t>
      </w:r>
      <w:r w:rsidRPr="00595D69">
        <w:rPr>
          <w:rFonts w:ascii="Times New Roman" w:hAnsi="Times New Roman"/>
          <w:sz w:val="24"/>
          <w:szCs w:val="24"/>
        </w:rPr>
        <w:t>рограмму.</w:t>
      </w:r>
    </w:p>
    <w:p w:rsidR="00FB16D9" w:rsidRPr="00F50631" w:rsidRDefault="00FB16D9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631" w:rsidRPr="00F50631" w:rsidRDefault="00F50631" w:rsidP="00F37C5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631" w:rsidRPr="00F50631" w:rsidSect="006B57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DE3" w:rsidRPr="00570DE3" w:rsidRDefault="00570DE3" w:rsidP="00C642A7">
      <w:pPr>
        <w:widowControl w:val="0"/>
        <w:autoSpaceDE w:val="0"/>
        <w:autoSpaceDN w:val="0"/>
        <w:adjustRightInd w:val="0"/>
        <w:spacing w:after="0" w:line="240" w:lineRule="auto"/>
        <w:ind w:left="1119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B3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578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C642A7" w:rsidRDefault="00C642A7" w:rsidP="00C642A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:rsidR="00C642A7" w:rsidRDefault="00C642A7" w:rsidP="00C642A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«Информационное общество Канашского района </w:t>
      </w:r>
    </w:p>
    <w:p w:rsidR="00C642A7" w:rsidRDefault="00C642A7" w:rsidP="00C642A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Республики» на 2014-2020 годы </w:t>
      </w:r>
    </w:p>
    <w:p w:rsidR="00C642A7" w:rsidRDefault="00C642A7" w:rsidP="00C642A7">
      <w:pPr>
        <w:shd w:val="clear" w:color="auto" w:fill="FFFFFF"/>
        <w:spacing w:after="0" w:line="278" w:lineRule="exact"/>
        <w:ind w:left="2736" w:right="2246" w:firstLine="102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0631" w:rsidRPr="001E2088" w:rsidRDefault="00F50631" w:rsidP="00C642A7">
      <w:pPr>
        <w:shd w:val="clear" w:color="auto" w:fill="FFFFFF"/>
        <w:spacing w:after="0" w:line="278" w:lineRule="exact"/>
        <w:ind w:left="2736" w:right="2246" w:firstLine="1027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Сведения о целевых индикаторах, показателях муниципальной программы </w:t>
      </w:r>
      <w:r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Канашского района Чувашской Республики </w:t>
      </w:r>
      <w:r w:rsidR="00F57118" w:rsidRPr="001E20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«Информационное общество на 2014-2020 годы»</w:t>
      </w:r>
    </w:p>
    <w:tbl>
      <w:tblPr>
        <w:tblW w:w="151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097"/>
        <w:gridCol w:w="1276"/>
        <w:gridCol w:w="1037"/>
        <w:gridCol w:w="989"/>
        <w:gridCol w:w="994"/>
        <w:gridCol w:w="994"/>
        <w:gridCol w:w="989"/>
        <w:gridCol w:w="931"/>
        <w:gridCol w:w="1056"/>
        <w:gridCol w:w="1061"/>
      </w:tblGrid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69" w:lineRule="exact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1037" w:right="1037" w:firstLine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spacing w:line="274" w:lineRule="exact"/>
              <w:ind w:left="58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80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F50631" w:rsidRPr="001E2088" w:rsidTr="0050792B">
        <w:trPr>
          <w:trHeight w:hRule="exact" w:val="288"/>
        </w:trPr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31" w:rsidRPr="001E2088" w:rsidRDefault="00F50631" w:rsidP="0050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50631" w:rsidRPr="001E2088" w:rsidTr="0050792B">
        <w:trPr>
          <w:trHeight w:hRule="exact" w:val="28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0631" w:rsidRPr="001E2088" w:rsidTr="0050792B">
        <w:trPr>
          <w:trHeight w:hRule="exact" w:val="84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F5063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число домашних  хозяйств,   имеющих   доступ   к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сети    Интернет,    в    расчете    на    100    домашних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50792B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50631"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0631" w:rsidRPr="001E2088" w:rsidTr="00CE2C04">
        <w:trPr>
          <w:trHeight w:hRule="exact" w:val="144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8120D5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50631"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  муниципальных   услуг   и   государственных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услуг, предоставляемых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самоуправления  Канашского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, которое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может получить в электронном виде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0631" w:rsidRPr="001E2088" w:rsidTr="00CE2C04">
        <w:trPr>
          <w:trHeight w:hRule="exact" w:val="19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8120D5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0631"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CE2C04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доля электронного документооборота между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органами местного самоуправления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Канашского  района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Чувашской Республики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и  органами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государственной власти и органами местного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самоуправления иных муниципальных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образований,  в том числе в рамках системы </w:t>
            </w:r>
            <w:r w:rsidR="00CE2C04"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межведомственного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электронного </w:t>
            </w: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31" w:rsidRPr="001E2088" w:rsidRDefault="00F50631" w:rsidP="0050792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0792B" w:rsidRPr="001E2088" w:rsidRDefault="0050792B" w:rsidP="00F50631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631" w:rsidRPr="001E2088" w:rsidRDefault="00F50631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</w:p>
    <w:p w:rsidR="00F50631" w:rsidRPr="001E2088" w:rsidRDefault="00F50631" w:rsidP="009E18FB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  <w:sectPr w:rsidR="00F50631" w:rsidRPr="001E2088">
          <w:pgSz w:w="16834" w:h="11904" w:orient="landscape"/>
          <w:pgMar w:top="1282" w:right="845" w:bottom="1469" w:left="989" w:header="720" w:footer="720" w:gutter="0"/>
          <w:cols w:space="60"/>
          <w:noEndnote/>
        </w:sectPr>
      </w:pPr>
    </w:p>
    <w:p w:rsidR="00294277" w:rsidRPr="00570DE3" w:rsidRDefault="00294277" w:rsidP="00294277">
      <w:pPr>
        <w:widowControl w:val="0"/>
        <w:autoSpaceDE w:val="0"/>
        <w:autoSpaceDN w:val="0"/>
        <w:adjustRightInd w:val="0"/>
        <w:spacing w:after="0" w:line="240" w:lineRule="auto"/>
        <w:ind w:left="1119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«Информационное общество Канашского района 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Республики» на 2014-2020 годы </w:t>
      </w:r>
    </w:p>
    <w:p w:rsidR="00223506" w:rsidRPr="001E2088" w:rsidRDefault="00223506" w:rsidP="00223506">
      <w:pPr>
        <w:shd w:val="clear" w:color="auto" w:fill="FFFFFF"/>
        <w:spacing w:after="0" w:line="240" w:lineRule="auto"/>
        <w:ind w:left="3459" w:right="336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B5262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Обобщённая характеристика </w:t>
      </w:r>
      <w:r w:rsidR="002B52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основных мероприятий </w:t>
      </w: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реализуемых в составе муниципальной программы </w:t>
      </w:r>
    </w:p>
    <w:p w:rsidR="00542A57" w:rsidRPr="001E2088" w:rsidRDefault="00542A57" w:rsidP="00542A57">
      <w:pPr>
        <w:shd w:val="clear" w:color="auto" w:fill="FFFFFF"/>
        <w:spacing w:after="0" w:line="240" w:lineRule="auto"/>
        <w:ind w:right="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Default="00F57118" w:rsidP="003E38C0">
      <w:pPr>
        <w:shd w:val="clear" w:color="auto" w:fill="FFFFFF"/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«Информационное общество на 2014-2020 годы»</w:t>
      </w:r>
    </w:p>
    <w:tbl>
      <w:tblPr>
        <w:tblW w:w="151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31"/>
        <w:gridCol w:w="2410"/>
        <w:gridCol w:w="992"/>
        <w:gridCol w:w="993"/>
        <w:gridCol w:w="1134"/>
        <w:gridCol w:w="2127"/>
        <w:gridCol w:w="4110"/>
      </w:tblGrid>
      <w:tr w:rsidR="003E38C0" w:rsidRPr="00294277" w:rsidTr="002A6BEB">
        <w:trPr>
          <w:trHeight w:val="196"/>
        </w:trPr>
        <w:tc>
          <w:tcPr>
            <w:tcW w:w="426" w:type="dxa"/>
            <w:vMerge w:val="restart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356" w:type="dxa"/>
            <w:gridSpan w:val="5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</w:tr>
      <w:tr w:rsidR="003E38C0" w:rsidRPr="00294277" w:rsidTr="00294277">
        <w:trPr>
          <w:trHeight w:hRule="exact" w:val="1141"/>
        </w:trPr>
        <w:tc>
          <w:tcPr>
            <w:tcW w:w="426" w:type="dxa"/>
            <w:vMerge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начала реализации мероприятия</w:t>
            </w:r>
          </w:p>
        </w:tc>
        <w:tc>
          <w:tcPr>
            <w:tcW w:w="993" w:type="dxa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окончания реализации мероприятия</w:t>
            </w:r>
          </w:p>
        </w:tc>
        <w:tc>
          <w:tcPr>
            <w:tcW w:w="1134" w:type="dxa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Ожидаемый результат</w:t>
            </w:r>
          </w:p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Последствия </w:t>
            </w:r>
            <w:proofErr w:type="spellStart"/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нереализации</w:t>
            </w:r>
            <w:proofErr w:type="spellEnd"/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муниципальной программы, отдельного мероприятия</w:t>
            </w:r>
          </w:p>
        </w:tc>
        <w:tc>
          <w:tcPr>
            <w:tcW w:w="4110" w:type="dxa"/>
            <w:shd w:val="clear" w:color="auto" w:fill="FFFFFF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Связь основного мероприятия с целевыми индикаторами (показателями) муниципальной программы</w:t>
            </w:r>
          </w:p>
        </w:tc>
      </w:tr>
      <w:tr w:rsidR="003E38C0" w:rsidRPr="00294277" w:rsidTr="00294277">
        <w:trPr>
          <w:trHeight w:hRule="exact" w:val="277"/>
        </w:trPr>
        <w:tc>
          <w:tcPr>
            <w:tcW w:w="426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3E38C0" w:rsidRPr="00294277" w:rsidRDefault="003E38C0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8</w:t>
            </w:r>
          </w:p>
        </w:tc>
      </w:tr>
      <w:tr w:rsidR="00FB5995" w:rsidRPr="00294277" w:rsidTr="002A6BEB">
        <w:trPr>
          <w:trHeight w:hRule="exact" w:val="2566"/>
        </w:trPr>
        <w:tc>
          <w:tcPr>
            <w:tcW w:w="426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31" w:type="dxa"/>
            <w:shd w:val="clear" w:color="auto" w:fill="FFFFFF"/>
          </w:tcPr>
          <w:p w:rsidR="00FB5995" w:rsidRPr="00294277" w:rsidRDefault="00705DAF" w:rsidP="00705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 - технологической и телекоммуникационной инфраструктуры органов местного самоуправления Канашского района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Чувашской Республики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поселений Канашского района Чувашской Республики</w:t>
            </w:r>
          </w:p>
        </w:tc>
        <w:tc>
          <w:tcPr>
            <w:tcW w:w="2410" w:type="dxa"/>
            <w:shd w:val="clear" w:color="auto" w:fill="FFFFFF"/>
          </w:tcPr>
          <w:p w:rsidR="00FB5995" w:rsidRPr="00294277" w:rsidRDefault="00294277" w:rsidP="00294277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Отдел организационно-контрольной и кадровой работы администрации Канашского района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, сектор информатизации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администрации Канашского района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АУ 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МФЦ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r w:rsidR="00B6772B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сельские поселения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, привлекаемые организации*</w:t>
            </w:r>
          </w:p>
        </w:tc>
        <w:tc>
          <w:tcPr>
            <w:tcW w:w="992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</w:t>
            </w:r>
          </w:p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программы</w:t>
            </w:r>
          </w:p>
        </w:tc>
        <w:tc>
          <w:tcPr>
            <w:tcW w:w="2127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4110" w:type="dxa"/>
            <w:shd w:val="clear" w:color="auto" w:fill="FFFFFF"/>
          </w:tcPr>
          <w:p w:rsidR="00FB5995" w:rsidRPr="00294277" w:rsidRDefault="00FB5995" w:rsidP="00294277">
            <w:pPr>
              <w:shd w:val="clear" w:color="auto" w:fill="FFFFFF"/>
              <w:spacing w:after="0" w:line="216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доля электронного документооборота между органами местного самоуправления Канашского района и органами государственной власти и органами местного самоуправления иных муниципальных образований, в том числе в рамках системы межведомственного электронного взаимодействия 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году – 100%</w:t>
            </w:r>
          </w:p>
          <w:p w:rsidR="00FB5995" w:rsidRPr="00294277" w:rsidRDefault="00FB5995" w:rsidP="00294277">
            <w:pPr>
              <w:shd w:val="clear" w:color="auto" w:fill="FFFFFF"/>
              <w:spacing w:after="0" w:line="216" w:lineRule="auto"/>
              <w:ind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доля муниципальных услуг и государственных услуг, предоставляемых </w:t>
            </w:r>
            <w:r w:rsidR="00B6772B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органами местного самоуправления Канашского района Чувашской Республики, которое 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население может получить в электронном виде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году – 100%</w:t>
            </w:r>
          </w:p>
        </w:tc>
      </w:tr>
      <w:tr w:rsidR="00FB5995" w:rsidRPr="00294277" w:rsidTr="002A6BEB">
        <w:trPr>
          <w:trHeight w:hRule="exact" w:val="2118"/>
        </w:trPr>
        <w:tc>
          <w:tcPr>
            <w:tcW w:w="426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31" w:type="dxa"/>
            <w:shd w:val="clear" w:color="auto" w:fill="FFFFFF"/>
          </w:tcPr>
          <w:p w:rsidR="00FB5995" w:rsidRPr="00294277" w:rsidRDefault="002565DF" w:rsidP="00294277">
            <w:pPr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Основное мероприятие 2 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Совершенствование деятельности центров общественного доступа</w:t>
            </w:r>
            <w:r w:rsidR="00094AE3"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по предоставлению доступа населения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к информационным ресурсам Канашского </w:t>
            </w:r>
            <w:r w:rsidR="00094AE3"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района и </w:t>
            </w:r>
            <w:r w:rsidR="00FB5995" w:rsidRPr="00294277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доступа к системам оказания государственных и муниципальных услуг в электронном виде</w:t>
            </w:r>
          </w:p>
        </w:tc>
        <w:tc>
          <w:tcPr>
            <w:tcW w:w="2410" w:type="dxa"/>
            <w:shd w:val="clear" w:color="auto" w:fill="FFFFFF"/>
          </w:tcPr>
          <w:p w:rsidR="00FB5995" w:rsidRPr="00294277" w:rsidRDefault="00294277" w:rsidP="00294277">
            <w:pPr>
              <w:shd w:val="clear" w:color="auto" w:fill="FFFFFF"/>
              <w:spacing w:after="0" w:line="216" w:lineRule="auto"/>
              <w:ind w:left="102" w:right="102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Отдел организационно-контрольной и кадровой работы администрации Канашского района, сектор информатизации администрации Канашского района, АУ «МФЦ», сельские поселения, привлекаемые организации*</w:t>
            </w:r>
          </w:p>
        </w:tc>
        <w:tc>
          <w:tcPr>
            <w:tcW w:w="992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</w:t>
            </w:r>
          </w:p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программы</w:t>
            </w:r>
          </w:p>
        </w:tc>
        <w:tc>
          <w:tcPr>
            <w:tcW w:w="2127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4110" w:type="dxa"/>
            <w:shd w:val="clear" w:color="auto" w:fill="FFFFFF"/>
          </w:tcPr>
          <w:p w:rsidR="00FB5995" w:rsidRPr="00294277" w:rsidRDefault="00FB5995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доля муниципальных услуг и государственных услуг, предоставляемых </w:t>
            </w:r>
            <w:r w:rsidR="00B6772B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органами местного самоуправления Канашского района Чувашской Республики, которое 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население может получить в электронном виде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году – 100%</w:t>
            </w:r>
          </w:p>
          <w:p w:rsidR="00B3338E" w:rsidRPr="00294277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 – до 70</w:t>
            </w:r>
            <w:r w:rsidR="001E2088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3338E" w:rsidRPr="00294277" w:rsidTr="00294277">
        <w:trPr>
          <w:trHeight w:hRule="exact" w:val="2116"/>
        </w:trPr>
        <w:tc>
          <w:tcPr>
            <w:tcW w:w="426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1" w:type="dxa"/>
            <w:shd w:val="clear" w:color="auto" w:fill="FFFFFF"/>
          </w:tcPr>
          <w:p w:rsidR="00B3338E" w:rsidRPr="00294277" w:rsidRDefault="002565DF" w:rsidP="002565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 </w:t>
            </w:r>
            <w:r w:rsidR="00B3338E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поддержка средств массовой информации на территории Канашского района</w:t>
            </w:r>
          </w:p>
        </w:tc>
        <w:tc>
          <w:tcPr>
            <w:tcW w:w="2410" w:type="dxa"/>
            <w:shd w:val="clear" w:color="auto" w:fill="FFFFFF"/>
          </w:tcPr>
          <w:p w:rsidR="00B3338E" w:rsidRPr="00294277" w:rsidRDefault="002A6BEB" w:rsidP="002A6BEB">
            <w:pPr>
              <w:shd w:val="clear" w:color="auto" w:fill="FFFFFF"/>
              <w:spacing w:after="0" w:line="240" w:lineRule="auto"/>
              <w:ind w:left="101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Отдел организационно-контрольной и кадровой работы администрации Канашского района, сектор информатизации администрации Канашского района</w:t>
            </w:r>
          </w:p>
        </w:tc>
        <w:tc>
          <w:tcPr>
            <w:tcW w:w="992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</w:t>
            </w:r>
          </w:p>
          <w:p w:rsidR="00B3338E" w:rsidRPr="00294277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показателей программы</w:t>
            </w:r>
          </w:p>
        </w:tc>
        <w:tc>
          <w:tcPr>
            <w:tcW w:w="2127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достижение целей и задач программы, неэффективная бюджетная политика в      сфере развития информационных и телекоммуникационных технологий района</w:t>
            </w:r>
          </w:p>
        </w:tc>
        <w:tc>
          <w:tcPr>
            <w:tcW w:w="4110" w:type="dxa"/>
            <w:shd w:val="clear" w:color="auto" w:fill="FFFFFF"/>
          </w:tcPr>
          <w:p w:rsidR="00B3338E" w:rsidRPr="00294277" w:rsidRDefault="00B3338E" w:rsidP="00542A57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домашних хозяйств, имеющих доступ к сети Интернет, в расчете на 100 домашних хозяйств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 – до 70</w:t>
            </w:r>
            <w:r w:rsidR="001E2088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3338E" w:rsidRPr="00294277" w:rsidRDefault="00B3338E" w:rsidP="00542A57">
            <w:pPr>
              <w:shd w:val="clear" w:color="auto" w:fill="FFFFFF"/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услуг и государственных услуг, предоставляемых </w:t>
            </w:r>
            <w:r w:rsidR="00B6772B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органами местного самоуправления Канашского района Чувашской Республики, которое 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население может получить в электронном виде к 202</w:t>
            </w:r>
            <w:r w:rsidR="00542A57"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942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 – 100%</w:t>
            </w:r>
          </w:p>
        </w:tc>
      </w:tr>
    </w:tbl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2565DF" w:rsidRPr="001E2088" w:rsidRDefault="002565DF" w:rsidP="002565DF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5DF" w:rsidRPr="001E2088" w:rsidRDefault="002565DF" w:rsidP="002565DF">
      <w:pPr>
        <w:shd w:val="clear" w:color="auto" w:fill="FFFFFF"/>
        <w:spacing w:after="0" w:line="240" w:lineRule="auto"/>
        <w:ind w:left="1013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- Мероприятия,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208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рограммой, реализуются по согласованию с исполнителем.</w:t>
      </w:r>
    </w:p>
    <w:p w:rsidR="00B3338E" w:rsidRPr="001E2088" w:rsidRDefault="00B3338E" w:rsidP="009E1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3338E" w:rsidRPr="001E2088">
          <w:pgSz w:w="16834" w:h="11904" w:orient="landscape"/>
          <w:pgMar w:top="1272" w:right="696" w:bottom="1694" w:left="1090" w:header="720" w:footer="720" w:gutter="0"/>
          <w:cols w:space="60"/>
          <w:noEndnote/>
        </w:sectPr>
      </w:pPr>
    </w:p>
    <w:p w:rsidR="00294277" w:rsidRPr="00570DE3" w:rsidRDefault="00294277" w:rsidP="00294277">
      <w:pPr>
        <w:widowControl w:val="0"/>
        <w:autoSpaceDE w:val="0"/>
        <w:autoSpaceDN w:val="0"/>
        <w:adjustRightInd w:val="0"/>
        <w:spacing w:after="0" w:line="240" w:lineRule="auto"/>
        <w:ind w:left="1119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Pr="00570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0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программе 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«Информационное общество Канашского района </w:t>
      </w:r>
    </w:p>
    <w:p w:rsidR="00294277" w:rsidRDefault="00294277" w:rsidP="00294277">
      <w:pPr>
        <w:shd w:val="clear" w:color="auto" w:fill="FFFFFF"/>
        <w:spacing w:after="0" w:line="278" w:lineRule="exact"/>
        <w:ind w:left="2736" w:firstLine="102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2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Чувашской Республики» на 2014-2020 годы </w:t>
      </w:r>
    </w:p>
    <w:p w:rsidR="009B7DEB" w:rsidRPr="00294277" w:rsidRDefault="009B7DEB" w:rsidP="009E18F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B7DEB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муниципальной программы </w:t>
      </w:r>
      <w:r w:rsidR="009B7DEB"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Канашского района Чувашской Республики </w:t>
      </w:r>
    </w:p>
    <w:p w:rsidR="00F50631" w:rsidRPr="001E2088" w:rsidRDefault="00F50631" w:rsidP="009B7DEB">
      <w:pPr>
        <w:shd w:val="clear" w:color="auto" w:fill="FFFFFF"/>
        <w:spacing w:after="0" w:line="240" w:lineRule="auto"/>
        <w:ind w:left="422"/>
        <w:jc w:val="center"/>
        <w:rPr>
          <w:rFonts w:ascii="Times New Roman" w:hAnsi="Times New Roman" w:cs="Times New Roman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«Информационное общество» на 2014-2020 годы</w:t>
      </w:r>
    </w:p>
    <w:p w:rsidR="00F50631" w:rsidRPr="001E2088" w:rsidRDefault="00F50631" w:rsidP="009E18FB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всех источников финансирования</w:t>
      </w:r>
    </w:p>
    <w:p w:rsidR="00F50631" w:rsidRPr="00294277" w:rsidRDefault="00F50631" w:rsidP="009E18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806"/>
        <w:gridCol w:w="850"/>
        <w:gridCol w:w="890"/>
        <w:gridCol w:w="854"/>
        <w:gridCol w:w="1845"/>
        <w:gridCol w:w="850"/>
        <w:gridCol w:w="850"/>
        <w:gridCol w:w="850"/>
        <w:gridCol w:w="842"/>
        <w:gridCol w:w="850"/>
        <w:gridCol w:w="993"/>
        <w:gridCol w:w="992"/>
      </w:tblGrid>
      <w:tr w:rsidR="005165CD" w:rsidRPr="001E2088" w:rsidTr="005E4F67">
        <w:trPr>
          <w:trHeight w:hRule="exact" w:val="566"/>
        </w:trPr>
        <w:tc>
          <w:tcPr>
            <w:tcW w:w="1418" w:type="dxa"/>
            <w:vMerge w:val="restart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5165CD" w:rsidRPr="001E2088" w:rsidRDefault="005165CD" w:rsidP="00EB3F6A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(мероприятия)</w:t>
            </w: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ind w:left="672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vMerge w:val="restart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gridSpan w:val="7"/>
            <w:shd w:val="clear" w:color="auto" w:fill="FFFFFF"/>
          </w:tcPr>
          <w:p w:rsidR="005165CD" w:rsidRPr="001E2088" w:rsidRDefault="005165CD" w:rsidP="005165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по годам, тыс. рублей</w:t>
            </w:r>
          </w:p>
        </w:tc>
      </w:tr>
      <w:tr w:rsidR="005165CD" w:rsidRPr="001E2088" w:rsidTr="005E4F67">
        <w:trPr>
          <w:trHeight w:hRule="exact" w:val="552"/>
        </w:trPr>
        <w:tc>
          <w:tcPr>
            <w:tcW w:w="1418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165CD" w:rsidRPr="001E2088" w:rsidRDefault="005165CD" w:rsidP="009E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0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4" w:type="dxa"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vMerge/>
            <w:shd w:val="clear" w:color="auto" w:fill="FFFFFF"/>
          </w:tcPr>
          <w:p w:rsidR="005165CD" w:rsidRPr="001E2088" w:rsidRDefault="005165CD" w:rsidP="009E1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5165CD" w:rsidRPr="001E2088" w:rsidRDefault="005165CD" w:rsidP="000639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2565DF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2565DF" w:rsidRPr="001E2088" w:rsidRDefault="002565DF" w:rsidP="007E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7E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«Информационное общество на 2014-2020 годы»</w:t>
            </w:r>
          </w:p>
          <w:p w:rsidR="002565DF" w:rsidRPr="001E2088" w:rsidRDefault="002565DF" w:rsidP="007E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5DF" w:rsidRPr="001E2088" w:rsidRDefault="002565DF" w:rsidP="007E7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2565DF" w:rsidRPr="001E2088" w:rsidRDefault="002565DF" w:rsidP="007E7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2565DF" w:rsidRPr="001E2088" w:rsidRDefault="002565DF" w:rsidP="007E77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42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565DF"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565DF" w:rsidRPr="001E2088" w:rsidRDefault="00C508E0" w:rsidP="007E77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2565DF"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08E0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4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08E0" w:rsidRPr="001E2088" w:rsidTr="005E4F67">
        <w:trPr>
          <w:trHeight w:hRule="exact" w:val="953"/>
        </w:trPr>
        <w:tc>
          <w:tcPr>
            <w:tcW w:w="1418" w:type="dxa"/>
            <w:vMerge w:val="restart"/>
            <w:shd w:val="clear" w:color="auto" w:fill="FFFFFF"/>
          </w:tcPr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C508E0" w:rsidRPr="001E2088" w:rsidRDefault="00C508E0" w:rsidP="00B3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="00B3604A">
              <w:rPr>
                <w:rFonts w:ascii="Times New Roman" w:eastAsia="Times New Roman" w:hAnsi="Times New Roman" w:cs="Times New Roman"/>
                <w:color w:val="000000"/>
              </w:rPr>
              <w:t>Государствен</w:t>
            </w:r>
            <w:r w:rsidRPr="001E2088">
              <w:rPr>
                <w:rFonts w:ascii="Times New Roman" w:eastAsia="Times New Roman" w:hAnsi="Times New Roman" w:cs="Times New Roman"/>
                <w:color w:val="000000"/>
              </w:rPr>
              <w:t xml:space="preserve">ная поддержка </w:t>
            </w:r>
            <w:r w:rsidR="00B3604A">
              <w:rPr>
                <w:rFonts w:ascii="Times New Roman" w:eastAsia="Times New Roman" w:hAnsi="Times New Roman" w:cs="Times New Roman"/>
                <w:color w:val="000000"/>
              </w:rPr>
              <w:t>электронных средств массовой информации, создание фильмов, социальных роликов.</w:t>
            </w:r>
          </w:p>
        </w:tc>
        <w:tc>
          <w:tcPr>
            <w:tcW w:w="806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4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508E0" w:rsidRPr="001E2088" w:rsidTr="005E4F67">
        <w:trPr>
          <w:trHeight w:hRule="exact" w:val="1392"/>
        </w:trPr>
        <w:tc>
          <w:tcPr>
            <w:tcW w:w="1418" w:type="dxa"/>
            <w:vMerge/>
            <w:shd w:val="clear" w:color="auto" w:fill="FFFFFF"/>
          </w:tcPr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C508E0" w:rsidRPr="001E2088" w:rsidRDefault="00C508E0" w:rsidP="00C50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890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Ч62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854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FFFFFF"/>
          </w:tcPr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Канашского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</w:p>
          <w:p w:rsidR="00C508E0" w:rsidRPr="001E2088" w:rsidRDefault="00C508E0" w:rsidP="00C508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4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850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3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508E0" w:rsidRPr="001E2088" w:rsidRDefault="00C508E0" w:rsidP="00C508E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E20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D106F" w:rsidRPr="001E2088" w:rsidRDefault="00CD106F" w:rsidP="0057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06F" w:rsidRPr="001E2088" w:rsidSect="00570DE3">
      <w:pgSz w:w="16834" w:h="11904" w:orient="landscape"/>
      <w:pgMar w:top="1277" w:right="845" w:bottom="1685" w:left="6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00" w:rsidRDefault="00945F00" w:rsidP="00433457">
      <w:pPr>
        <w:spacing w:after="0" w:line="240" w:lineRule="auto"/>
      </w:pPr>
      <w:r>
        <w:separator/>
      </w:r>
    </w:p>
  </w:endnote>
  <w:endnote w:type="continuationSeparator" w:id="0">
    <w:p w:rsidR="00945F00" w:rsidRDefault="00945F00" w:rsidP="0043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00" w:rsidRDefault="00945F00" w:rsidP="00433457">
      <w:pPr>
        <w:spacing w:after="0" w:line="240" w:lineRule="auto"/>
      </w:pPr>
      <w:r>
        <w:separator/>
      </w:r>
    </w:p>
  </w:footnote>
  <w:footnote w:type="continuationSeparator" w:id="0">
    <w:p w:rsidR="00945F00" w:rsidRDefault="00945F00" w:rsidP="0043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9" w:rsidRDefault="00FB16D9" w:rsidP="00C7643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D4D450"/>
    <w:lvl w:ilvl="0">
      <w:numFmt w:val="bullet"/>
      <w:lvlText w:val="*"/>
      <w:lvlJc w:val="left"/>
    </w:lvl>
  </w:abstractNum>
  <w:abstractNum w:abstractNumId="1">
    <w:nsid w:val="0B1D0D12"/>
    <w:multiLevelType w:val="hybridMultilevel"/>
    <w:tmpl w:val="011A7BF0"/>
    <w:lvl w:ilvl="0" w:tplc="7640D6EE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">
    <w:nsid w:val="415D54E9"/>
    <w:multiLevelType w:val="singleLevel"/>
    <w:tmpl w:val="7E424F3A"/>
    <w:lvl w:ilvl="0">
      <w:start w:val="2017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4CBB6BA1"/>
    <w:multiLevelType w:val="hybridMultilevel"/>
    <w:tmpl w:val="94F03BCE"/>
    <w:lvl w:ilvl="0" w:tplc="B4D4D45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5A4"/>
    <w:multiLevelType w:val="singleLevel"/>
    <w:tmpl w:val="DE44794E"/>
    <w:lvl w:ilvl="0">
      <w:start w:val="2014"/>
      <w:numFmt w:val="decimal"/>
      <w:lvlText w:val="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5">
    <w:nsid w:val="6013118E"/>
    <w:multiLevelType w:val="singleLevel"/>
    <w:tmpl w:val="D206BC26"/>
    <w:lvl w:ilvl="0">
      <w:start w:val="2014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3"/>
    <w:rsid w:val="0004360C"/>
    <w:rsid w:val="00063919"/>
    <w:rsid w:val="00092D26"/>
    <w:rsid w:val="00094AE3"/>
    <w:rsid w:val="000A56FC"/>
    <w:rsid w:val="000D4821"/>
    <w:rsid w:val="000F44B4"/>
    <w:rsid w:val="0012446A"/>
    <w:rsid w:val="00124654"/>
    <w:rsid w:val="00150FD3"/>
    <w:rsid w:val="00155DD1"/>
    <w:rsid w:val="001A0980"/>
    <w:rsid w:val="001A6C92"/>
    <w:rsid w:val="001C69FF"/>
    <w:rsid w:val="001E0543"/>
    <w:rsid w:val="001E2088"/>
    <w:rsid w:val="0020135D"/>
    <w:rsid w:val="00207F06"/>
    <w:rsid w:val="00223506"/>
    <w:rsid w:val="002441EB"/>
    <w:rsid w:val="002565DF"/>
    <w:rsid w:val="0027547B"/>
    <w:rsid w:val="00294277"/>
    <w:rsid w:val="002A1D50"/>
    <w:rsid w:val="002A6BEB"/>
    <w:rsid w:val="002B5262"/>
    <w:rsid w:val="002B6369"/>
    <w:rsid w:val="002D2CDB"/>
    <w:rsid w:val="002D4FB9"/>
    <w:rsid w:val="003739AF"/>
    <w:rsid w:val="003E38C0"/>
    <w:rsid w:val="003F3714"/>
    <w:rsid w:val="00426D0F"/>
    <w:rsid w:val="00430D82"/>
    <w:rsid w:val="00433457"/>
    <w:rsid w:val="004545CA"/>
    <w:rsid w:val="00462FD9"/>
    <w:rsid w:val="00464FAA"/>
    <w:rsid w:val="0048187B"/>
    <w:rsid w:val="004D190A"/>
    <w:rsid w:val="0050792B"/>
    <w:rsid w:val="005165CD"/>
    <w:rsid w:val="005236C8"/>
    <w:rsid w:val="00542A57"/>
    <w:rsid w:val="00570DE3"/>
    <w:rsid w:val="005850AD"/>
    <w:rsid w:val="005A12C7"/>
    <w:rsid w:val="005E4F67"/>
    <w:rsid w:val="006351B3"/>
    <w:rsid w:val="0065092A"/>
    <w:rsid w:val="00697C82"/>
    <w:rsid w:val="006A44BD"/>
    <w:rsid w:val="006B3DA7"/>
    <w:rsid w:val="006B5721"/>
    <w:rsid w:val="006C787E"/>
    <w:rsid w:val="00705DAF"/>
    <w:rsid w:val="007A19A6"/>
    <w:rsid w:val="007E77F1"/>
    <w:rsid w:val="008120D5"/>
    <w:rsid w:val="00815192"/>
    <w:rsid w:val="008547E8"/>
    <w:rsid w:val="00876AFE"/>
    <w:rsid w:val="0091416D"/>
    <w:rsid w:val="009403E3"/>
    <w:rsid w:val="00945F00"/>
    <w:rsid w:val="0097578D"/>
    <w:rsid w:val="009825CD"/>
    <w:rsid w:val="009B7D4E"/>
    <w:rsid w:val="009B7DEB"/>
    <w:rsid w:val="009C110C"/>
    <w:rsid w:val="009E0347"/>
    <w:rsid w:val="009E18FB"/>
    <w:rsid w:val="00A04533"/>
    <w:rsid w:val="00A80682"/>
    <w:rsid w:val="00A87F09"/>
    <w:rsid w:val="00A945CB"/>
    <w:rsid w:val="00A95D9B"/>
    <w:rsid w:val="00AA0E0E"/>
    <w:rsid w:val="00AC5376"/>
    <w:rsid w:val="00AD0D90"/>
    <w:rsid w:val="00B26876"/>
    <w:rsid w:val="00B3338E"/>
    <w:rsid w:val="00B3604A"/>
    <w:rsid w:val="00B651EE"/>
    <w:rsid w:val="00B6772B"/>
    <w:rsid w:val="00B970F0"/>
    <w:rsid w:val="00BA0A91"/>
    <w:rsid w:val="00C236AD"/>
    <w:rsid w:val="00C508E0"/>
    <w:rsid w:val="00C642A7"/>
    <w:rsid w:val="00C67FC5"/>
    <w:rsid w:val="00C7643B"/>
    <w:rsid w:val="00CA13C7"/>
    <w:rsid w:val="00CB3E34"/>
    <w:rsid w:val="00CC6B28"/>
    <w:rsid w:val="00CD106F"/>
    <w:rsid w:val="00CD2C1D"/>
    <w:rsid w:val="00CD67BE"/>
    <w:rsid w:val="00CE2C04"/>
    <w:rsid w:val="00D07143"/>
    <w:rsid w:val="00E177C1"/>
    <w:rsid w:val="00E2545A"/>
    <w:rsid w:val="00E75FC3"/>
    <w:rsid w:val="00EA7724"/>
    <w:rsid w:val="00EB1C63"/>
    <w:rsid w:val="00EB3F6A"/>
    <w:rsid w:val="00ED5743"/>
    <w:rsid w:val="00EE08B1"/>
    <w:rsid w:val="00EE2808"/>
    <w:rsid w:val="00EE3EB4"/>
    <w:rsid w:val="00F1104A"/>
    <w:rsid w:val="00F13CC9"/>
    <w:rsid w:val="00F37C5E"/>
    <w:rsid w:val="00F40E17"/>
    <w:rsid w:val="00F50631"/>
    <w:rsid w:val="00F57118"/>
    <w:rsid w:val="00F60F79"/>
    <w:rsid w:val="00F81909"/>
    <w:rsid w:val="00F929E6"/>
    <w:rsid w:val="00F92D80"/>
    <w:rsid w:val="00FB16D9"/>
    <w:rsid w:val="00FB5995"/>
    <w:rsid w:val="00FE018C"/>
    <w:rsid w:val="00FE7259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D80"/>
    <w:rPr>
      <w:b/>
      <w:bCs/>
    </w:rPr>
  </w:style>
  <w:style w:type="paragraph" w:styleId="a4">
    <w:name w:val="header"/>
    <w:basedOn w:val="a"/>
    <w:link w:val="a5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457"/>
  </w:style>
  <w:style w:type="paragraph" w:styleId="a6">
    <w:name w:val="footer"/>
    <w:basedOn w:val="a"/>
    <w:link w:val="a7"/>
    <w:uiPriority w:val="99"/>
    <w:unhideWhenUsed/>
    <w:rsid w:val="0043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57"/>
  </w:style>
  <w:style w:type="paragraph" w:styleId="a8">
    <w:name w:val="List Paragraph"/>
    <w:basedOn w:val="a"/>
    <w:uiPriority w:val="34"/>
    <w:qFormat/>
    <w:rsid w:val="00A045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C82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A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B1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4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A54C-9DF8-4A16-858C-1008F66F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Канашский р-он сектор информатизации - Владимир Н. С</dc:creator>
  <cp:lastModifiedBy>Антонина В. Тямина</cp:lastModifiedBy>
  <cp:revision>2</cp:revision>
  <cp:lastPrinted>2016-06-03T12:20:00Z</cp:lastPrinted>
  <dcterms:created xsi:type="dcterms:W3CDTF">2019-04-11T05:41:00Z</dcterms:created>
  <dcterms:modified xsi:type="dcterms:W3CDTF">2019-04-11T05:41:00Z</dcterms:modified>
</cp:coreProperties>
</file>