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06" w:rsidRPr="00467FCF" w:rsidRDefault="006A1F06" w:rsidP="006A1F06">
      <w:pPr>
        <w:tabs>
          <w:tab w:val="left" w:pos="9360"/>
        </w:tabs>
        <w:suppressAutoHyphens/>
        <w:autoSpaceDE w:val="0"/>
        <w:ind w:left="5400" w:right="-31"/>
        <w:jc w:val="right"/>
        <w:rPr>
          <w:rFonts w:eastAsia="Arial"/>
          <w:lang w:eastAsia="ar-SA"/>
        </w:rPr>
      </w:pPr>
      <w:r w:rsidRPr="00467FCF">
        <w:rPr>
          <w:rFonts w:eastAsia="Arial"/>
          <w:lang w:eastAsia="ar-SA"/>
        </w:rPr>
        <w:t xml:space="preserve">Приложение № </w:t>
      </w:r>
      <w:r>
        <w:rPr>
          <w:rFonts w:eastAsia="Arial"/>
          <w:lang w:eastAsia="ar-SA"/>
        </w:rPr>
        <w:t>7</w:t>
      </w:r>
    </w:p>
    <w:p w:rsidR="006A1F06" w:rsidRPr="00467FCF" w:rsidRDefault="006A1F06" w:rsidP="006A1F06">
      <w:pPr>
        <w:tabs>
          <w:tab w:val="left" w:pos="9360"/>
        </w:tabs>
        <w:suppressAutoHyphens/>
        <w:spacing w:line="216" w:lineRule="auto"/>
        <w:ind w:left="4860" w:right="-31"/>
        <w:jc w:val="right"/>
        <w:rPr>
          <w:bCs/>
          <w:lang w:eastAsia="ar-SA"/>
        </w:rPr>
      </w:pPr>
      <w:r w:rsidRPr="00467FCF">
        <w:rPr>
          <w:lang w:eastAsia="ar-SA"/>
        </w:rPr>
        <w:t>к конкурсной документации по проведению открытого конкурса на право осуществления перевозок пассажиров и багажа автомобильным транспортом по межмуниципальным маршрутам регулярных перевозок, утвержденной п</w:t>
      </w:r>
      <w:r w:rsidRPr="00467FCF">
        <w:rPr>
          <w:bCs/>
          <w:lang w:eastAsia="ar-SA"/>
        </w:rPr>
        <w:t>риказом Министерства транспорта и дорожного хозяйства Чувашской Республики</w:t>
      </w:r>
    </w:p>
    <w:p w:rsidR="006A1F06" w:rsidRDefault="006A1F06" w:rsidP="006A1F06">
      <w:pPr>
        <w:suppressAutoHyphens/>
        <w:spacing w:line="360" w:lineRule="auto"/>
        <w:ind w:right="-31"/>
        <w:jc w:val="right"/>
        <w:rPr>
          <w:caps/>
          <w:lang w:eastAsia="ar-SA"/>
        </w:rPr>
      </w:pPr>
      <w:r w:rsidRPr="00467FCF">
        <w:rPr>
          <w:lang w:eastAsia="ar-SA"/>
        </w:rPr>
        <w:t>от</w:t>
      </w:r>
      <w:r w:rsidRPr="00467FCF">
        <w:rPr>
          <w:caps/>
          <w:lang w:eastAsia="ar-SA"/>
        </w:rPr>
        <w:t xml:space="preserve">   </w:t>
      </w:r>
      <w:r>
        <w:rPr>
          <w:caps/>
          <w:lang w:eastAsia="ar-SA"/>
        </w:rPr>
        <w:t>________</w:t>
      </w:r>
      <w:r w:rsidRPr="00467FCF">
        <w:rPr>
          <w:caps/>
          <w:lang w:eastAsia="ar-SA"/>
        </w:rPr>
        <w:t xml:space="preserve"> № </w:t>
      </w:r>
      <w:r>
        <w:rPr>
          <w:caps/>
          <w:lang w:eastAsia="ar-SA"/>
        </w:rPr>
        <w:t>________</w:t>
      </w:r>
      <w:r w:rsidRPr="00467FCF">
        <w:rPr>
          <w:caps/>
          <w:lang w:eastAsia="ar-SA"/>
        </w:rPr>
        <w:t xml:space="preserve"> </w:t>
      </w:r>
    </w:p>
    <w:p w:rsidR="006A1F06" w:rsidRPr="00CB31EE" w:rsidRDefault="006A1F06" w:rsidP="006A1F06">
      <w:pPr>
        <w:jc w:val="center"/>
        <w:rPr>
          <w:lang w:eastAsia="ar-SA"/>
        </w:rPr>
      </w:pPr>
    </w:p>
    <w:p w:rsidR="006A1F06" w:rsidRPr="00CB31EE" w:rsidRDefault="006A1F06" w:rsidP="006A1F06">
      <w:pPr>
        <w:jc w:val="center"/>
        <w:rPr>
          <w:b/>
        </w:rPr>
      </w:pPr>
      <w:proofErr w:type="gramStart"/>
      <w:r w:rsidRPr="00CB31EE">
        <w:rPr>
          <w:b/>
        </w:rPr>
        <w:t>Ш</w:t>
      </w:r>
      <w:proofErr w:type="gramEnd"/>
      <w:r w:rsidRPr="00CB31EE">
        <w:rPr>
          <w:b/>
        </w:rPr>
        <w:t xml:space="preserve"> к а л а</w:t>
      </w:r>
    </w:p>
    <w:p w:rsidR="006A1F06" w:rsidRPr="00CB31EE" w:rsidRDefault="006A1F06" w:rsidP="006A1F06">
      <w:pPr>
        <w:jc w:val="center"/>
        <w:rPr>
          <w:b/>
        </w:rPr>
      </w:pPr>
      <w:r w:rsidRPr="00CB31EE">
        <w:rPr>
          <w:b/>
        </w:rPr>
        <w:t>для оценки критериев, применяемых при оценке и сопоставлении заявок на участие в открытом конкурсе на право</w:t>
      </w:r>
    </w:p>
    <w:p w:rsidR="006A1F06" w:rsidRPr="00CB31EE" w:rsidRDefault="006A1F06" w:rsidP="006A1F06">
      <w:pPr>
        <w:jc w:val="center"/>
        <w:rPr>
          <w:b/>
        </w:rPr>
      </w:pPr>
      <w:r w:rsidRPr="00CB31EE">
        <w:rPr>
          <w:b/>
        </w:rPr>
        <w:t>осуществления перевозок по нерегулируемым тарифам по межмуниципальным маршрутам регулярных перевозок</w:t>
      </w:r>
    </w:p>
    <w:p w:rsidR="006A1F06" w:rsidRPr="00CB31EE" w:rsidRDefault="006A1F06" w:rsidP="006A1F06"/>
    <w:tbl>
      <w:tblPr>
        <w:tblW w:w="5000" w:type="pct"/>
        <w:tblBorders>
          <w:top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81"/>
        <w:gridCol w:w="8339"/>
        <w:gridCol w:w="1325"/>
      </w:tblGrid>
      <w:tr w:rsidR="006A1F06" w:rsidRPr="00CB31EE" w:rsidTr="00F3098A">
        <w:tc>
          <w:tcPr>
            <w:tcW w:w="190" w:type="pct"/>
            <w:tcBorders>
              <w:top w:val="single" w:sz="4" w:space="0" w:color="auto"/>
              <w:left w:val="nil"/>
              <w:bottom w:val="nil"/>
              <w:right w:val="single" w:sz="4" w:space="0" w:color="auto"/>
            </w:tcBorders>
            <w:hideMark/>
          </w:tcPr>
          <w:p w:rsidR="006A1F06" w:rsidRPr="00CB31EE" w:rsidRDefault="006A1F06" w:rsidP="00F3098A">
            <w:r w:rsidRPr="00CB31EE">
              <w:t xml:space="preserve">№ </w:t>
            </w:r>
            <w:proofErr w:type="spellStart"/>
            <w:r w:rsidRPr="00CB31EE">
              <w:t>пп</w:t>
            </w:r>
            <w:proofErr w:type="spellEnd"/>
          </w:p>
        </w:tc>
        <w:tc>
          <w:tcPr>
            <w:tcW w:w="4360" w:type="pct"/>
            <w:tcBorders>
              <w:top w:val="single" w:sz="4" w:space="0" w:color="auto"/>
              <w:left w:val="single" w:sz="4" w:space="0" w:color="auto"/>
              <w:bottom w:val="nil"/>
              <w:right w:val="single" w:sz="4" w:space="0" w:color="auto"/>
            </w:tcBorders>
            <w:hideMark/>
          </w:tcPr>
          <w:p w:rsidR="006A1F06" w:rsidRPr="00CB31EE" w:rsidRDefault="006A1F06" w:rsidP="00F3098A">
            <w:r w:rsidRPr="00CB31EE">
              <w:t>Критерии, применяемые при оценке и сопоставлении заявок на участие в открытом конкурсе на право осуществления перевозок по нерегулируемым тарифам по межмуниципальным маршрутам регулярных перевозок</w:t>
            </w:r>
          </w:p>
        </w:tc>
        <w:tc>
          <w:tcPr>
            <w:tcW w:w="450" w:type="pct"/>
            <w:tcBorders>
              <w:top w:val="single" w:sz="4" w:space="0" w:color="auto"/>
              <w:left w:val="single" w:sz="4" w:space="0" w:color="auto"/>
              <w:bottom w:val="nil"/>
              <w:right w:val="nil"/>
            </w:tcBorders>
            <w:hideMark/>
          </w:tcPr>
          <w:p w:rsidR="006A1F06" w:rsidRPr="00CB31EE" w:rsidRDefault="006A1F06" w:rsidP="00F3098A">
            <w:r w:rsidRPr="00CB31EE">
              <w:t>Количество баллов</w:t>
            </w:r>
          </w:p>
        </w:tc>
      </w:tr>
    </w:tbl>
    <w:p w:rsidR="006A1F06" w:rsidRPr="00CB31EE" w:rsidRDefault="006A1F06" w:rsidP="006A1F06"/>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82"/>
        <w:gridCol w:w="8759"/>
        <w:gridCol w:w="904"/>
      </w:tblGrid>
      <w:tr w:rsidR="006A1F06" w:rsidRPr="00CB31EE" w:rsidTr="00F3098A">
        <w:trPr>
          <w:tblHeader/>
        </w:trPr>
        <w:tc>
          <w:tcPr>
            <w:tcW w:w="190" w:type="pct"/>
            <w:tcBorders>
              <w:top w:val="single" w:sz="4" w:space="0" w:color="auto"/>
              <w:left w:val="nil"/>
              <w:bottom w:val="single" w:sz="4" w:space="0" w:color="auto"/>
              <w:right w:val="single" w:sz="4" w:space="0" w:color="auto"/>
            </w:tcBorders>
            <w:hideMark/>
          </w:tcPr>
          <w:p w:rsidR="006A1F06" w:rsidRPr="00CB31EE" w:rsidRDefault="006A1F06" w:rsidP="00F3098A">
            <w:r w:rsidRPr="00CB31EE">
              <w:t>1</w:t>
            </w:r>
          </w:p>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2</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3</w:t>
            </w:r>
          </w:p>
        </w:tc>
      </w:tr>
      <w:tr w:rsidR="006A1F06" w:rsidRPr="00CB31EE" w:rsidTr="00F3098A">
        <w:tc>
          <w:tcPr>
            <w:tcW w:w="190" w:type="pct"/>
            <w:vMerge w:val="restart"/>
            <w:tcBorders>
              <w:top w:val="single" w:sz="4" w:space="0" w:color="auto"/>
              <w:left w:val="nil"/>
              <w:bottom w:val="single" w:sz="4" w:space="0" w:color="auto"/>
              <w:right w:val="single" w:sz="4" w:space="0" w:color="auto"/>
            </w:tcBorders>
            <w:hideMark/>
          </w:tcPr>
          <w:p w:rsidR="006A1F06" w:rsidRPr="00CB31EE" w:rsidRDefault="006A1F06" w:rsidP="00F3098A">
            <w:r w:rsidRPr="00CB31EE">
              <w:t>1.</w:t>
            </w:r>
          </w:p>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proofErr w:type="gramStart"/>
            <w:r w:rsidRPr="00CB31EE">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CB31EE">
              <w:t xml:space="preserve">, </w:t>
            </w:r>
            <w:proofErr w:type="gramStart"/>
            <w:r w:rsidRPr="00CB31EE">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tc>
        <w:tc>
          <w:tcPr>
            <w:tcW w:w="450" w:type="pct"/>
            <w:tcBorders>
              <w:top w:val="single" w:sz="4" w:space="0" w:color="auto"/>
              <w:left w:val="single" w:sz="4" w:space="0" w:color="auto"/>
              <w:bottom w:val="single" w:sz="4" w:space="0" w:color="auto"/>
              <w:right w:val="nil"/>
            </w:tcBorders>
          </w:tcPr>
          <w:p w:rsidR="006A1F06" w:rsidRPr="00CB31EE" w:rsidRDefault="006A1F06" w:rsidP="00F3098A"/>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 xml:space="preserve">в </w:t>
            </w:r>
            <w:proofErr w:type="spellStart"/>
            <w:r w:rsidRPr="00CB31EE">
              <w:t>дтп</w:t>
            </w:r>
            <w:proofErr w:type="spellEnd"/>
            <w:r w:rsidRPr="00CB31EE">
              <w:t xml:space="preserve"> не участвовало 100% автобусов </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25</w:t>
            </w:r>
          </w:p>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 xml:space="preserve">в </w:t>
            </w:r>
            <w:proofErr w:type="spellStart"/>
            <w:r w:rsidRPr="00CB31EE">
              <w:t>дтп</w:t>
            </w:r>
            <w:proofErr w:type="spellEnd"/>
            <w:r w:rsidRPr="00CB31EE">
              <w:t xml:space="preserve"> участвовало не более 10% автобусов</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20</w:t>
            </w:r>
          </w:p>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 xml:space="preserve">в </w:t>
            </w:r>
            <w:proofErr w:type="spellStart"/>
            <w:r w:rsidRPr="00CB31EE">
              <w:t>дтп</w:t>
            </w:r>
            <w:proofErr w:type="spellEnd"/>
            <w:r w:rsidRPr="00CB31EE">
              <w:t xml:space="preserve"> участвовало свыше 10%, но не более 40% автобусов</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15</w:t>
            </w:r>
          </w:p>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 xml:space="preserve">в </w:t>
            </w:r>
            <w:proofErr w:type="spellStart"/>
            <w:r w:rsidRPr="00CB31EE">
              <w:t>дтп</w:t>
            </w:r>
            <w:proofErr w:type="spellEnd"/>
            <w:r w:rsidRPr="00CB31EE">
              <w:t xml:space="preserve"> участвовало свыше 40%, но не более 70% автобусов</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10</w:t>
            </w:r>
          </w:p>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 xml:space="preserve">в </w:t>
            </w:r>
            <w:proofErr w:type="spellStart"/>
            <w:r w:rsidRPr="00CB31EE">
              <w:t>дтп</w:t>
            </w:r>
            <w:proofErr w:type="spellEnd"/>
            <w:r w:rsidRPr="00CB31EE">
              <w:t xml:space="preserve"> участвовало свыше 70% автобусов</w:t>
            </w:r>
          </w:p>
        </w:tc>
        <w:tc>
          <w:tcPr>
            <w:tcW w:w="450" w:type="pct"/>
            <w:tcBorders>
              <w:top w:val="single" w:sz="4" w:space="0" w:color="auto"/>
              <w:left w:val="single" w:sz="4" w:space="0" w:color="auto"/>
              <w:bottom w:val="single" w:sz="4" w:space="0" w:color="auto"/>
              <w:right w:val="nil"/>
            </w:tcBorders>
            <w:vAlign w:val="bottom"/>
            <w:hideMark/>
          </w:tcPr>
          <w:p w:rsidR="006A1F06" w:rsidRPr="00CB31EE" w:rsidRDefault="006A1F06" w:rsidP="00F3098A">
            <w:r w:rsidRPr="00CB31EE">
              <w:t>5</w:t>
            </w:r>
          </w:p>
        </w:tc>
      </w:tr>
      <w:tr w:rsidR="006A1F06" w:rsidRPr="00CB31EE" w:rsidTr="00F3098A">
        <w:tc>
          <w:tcPr>
            <w:tcW w:w="190" w:type="pct"/>
            <w:vMerge w:val="restart"/>
            <w:tcBorders>
              <w:top w:val="single" w:sz="4" w:space="0" w:color="auto"/>
              <w:left w:val="nil"/>
              <w:bottom w:val="single" w:sz="4" w:space="0" w:color="auto"/>
              <w:right w:val="single" w:sz="4" w:space="0" w:color="auto"/>
            </w:tcBorders>
            <w:hideMark/>
          </w:tcPr>
          <w:p w:rsidR="006A1F06" w:rsidRPr="00CB31EE" w:rsidRDefault="006A1F06" w:rsidP="00F3098A">
            <w:r w:rsidRPr="00CB31EE">
              <w:t>2.</w:t>
            </w:r>
          </w:p>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proofErr w:type="gramStart"/>
            <w:r w:rsidRPr="00CB31EE">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CB31EE">
              <w:t xml:space="preserve">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w:t>
            </w:r>
            <w:r w:rsidRPr="00CB31EE">
              <w:lastRenderedPageBreak/>
              <w:t>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450" w:type="pct"/>
            <w:tcBorders>
              <w:top w:val="single" w:sz="4" w:space="0" w:color="auto"/>
              <w:left w:val="single" w:sz="4" w:space="0" w:color="auto"/>
              <w:bottom w:val="single" w:sz="4" w:space="0" w:color="auto"/>
              <w:right w:val="nil"/>
            </w:tcBorders>
          </w:tcPr>
          <w:p w:rsidR="006A1F06" w:rsidRPr="00CB31EE" w:rsidRDefault="006A1F06" w:rsidP="00F3098A"/>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опыт осуществления регулярных перевозок более 20 лет</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25</w:t>
            </w:r>
          </w:p>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опыт осуществления регулярных перевозок более 15 лет, но не более 20 лет</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20</w:t>
            </w:r>
          </w:p>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опыт осуществления регулярных перевозок более 10 лет, но не более 15 лет</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15</w:t>
            </w:r>
          </w:p>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опыт осуществления регулярных перевозок более 5 лет, но не более 10 лет</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10</w:t>
            </w:r>
          </w:p>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опыт осуществления регулярных перевозок не более 5 лет</w:t>
            </w:r>
          </w:p>
        </w:tc>
        <w:tc>
          <w:tcPr>
            <w:tcW w:w="450" w:type="pct"/>
            <w:tcBorders>
              <w:top w:val="single" w:sz="4" w:space="0" w:color="auto"/>
              <w:left w:val="single" w:sz="4" w:space="0" w:color="auto"/>
              <w:bottom w:val="single" w:sz="4" w:space="0" w:color="auto"/>
              <w:right w:val="nil"/>
            </w:tcBorders>
            <w:vAlign w:val="bottom"/>
            <w:hideMark/>
          </w:tcPr>
          <w:p w:rsidR="006A1F06" w:rsidRPr="00CB31EE" w:rsidRDefault="006A1F06" w:rsidP="00F3098A">
            <w:r w:rsidRPr="00CB31EE">
              <w:t>5</w:t>
            </w:r>
          </w:p>
        </w:tc>
      </w:tr>
      <w:tr w:rsidR="006A1F06" w:rsidRPr="00CB31EE" w:rsidTr="00F3098A">
        <w:tc>
          <w:tcPr>
            <w:tcW w:w="190" w:type="pct"/>
            <w:tcBorders>
              <w:top w:val="single" w:sz="4" w:space="0" w:color="auto"/>
              <w:left w:val="nil"/>
              <w:bottom w:val="nil"/>
              <w:right w:val="single" w:sz="4" w:space="0" w:color="auto"/>
            </w:tcBorders>
            <w:hideMark/>
          </w:tcPr>
          <w:p w:rsidR="006A1F06" w:rsidRPr="00CB31EE" w:rsidRDefault="006A1F06" w:rsidP="00F3098A">
            <w:r w:rsidRPr="00CB31EE">
              <w:t>3.</w:t>
            </w:r>
          </w:p>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p>
        </w:tc>
        <w:tc>
          <w:tcPr>
            <w:tcW w:w="450" w:type="pct"/>
            <w:tcBorders>
              <w:top w:val="single" w:sz="4" w:space="0" w:color="auto"/>
              <w:left w:val="single" w:sz="4" w:space="0" w:color="auto"/>
              <w:bottom w:val="single" w:sz="4" w:space="0" w:color="auto"/>
              <w:right w:val="nil"/>
            </w:tcBorders>
          </w:tcPr>
          <w:p w:rsidR="006A1F06" w:rsidRPr="00CB31EE" w:rsidRDefault="006A1F06" w:rsidP="00F3098A"/>
        </w:tc>
      </w:tr>
      <w:tr w:rsidR="006A1F06" w:rsidRPr="00CB31EE" w:rsidTr="00F3098A">
        <w:tc>
          <w:tcPr>
            <w:tcW w:w="190" w:type="pct"/>
            <w:vMerge w:val="restart"/>
            <w:tcBorders>
              <w:top w:val="nil"/>
              <w:left w:val="nil"/>
              <w:bottom w:val="nil"/>
              <w:right w:val="single" w:sz="4" w:space="0" w:color="auto"/>
            </w:tcBorders>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 xml:space="preserve">вместимость транспортного средства (присваивается соответствующий балл по каждому автобусу и сумма полученных баллов по всем автобусам делится на их количество) </w:t>
            </w:r>
          </w:p>
        </w:tc>
        <w:tc>
          <w:tcPr>
            <w:tcW w:w="450" w:type="pct"/>
            <w:tcBorders>
              <w:top w:val="single" w:sz="4" w:space="0" w:color="auto"/>
              <w:left w:val="single" w:sz="4" w:space="0" w:color="auto"/>
              <w:bottom w:val="single" w:sz="4" w:space="0" w:color="auto"/>
              <w:right w:val="nil"/>
            </w:tcBorders>
          </w:tcPr>
          <w:p w:rsidR="006A1F06" w:rsidRPr="00CB31EE" w:rsidRDefault="006A1F06" w:rsidP="00F3098A"/>
        </w:tc>
      </w:tr>
      <w:tr w:rsidR="006A1F06" w:rsidRPr="00CB31EE" w:rsidTr="00F3098A">
        <w:tc>
          <w:tcPr>
            <w:tcW w:w="0" w:type="auto"/>
            <w:vMerge/>
            <w:tcBorders>
              <w:top w:val="nil"/>
              <w:left w:val="nil"/>
              <w:bottom w:val="nil"/>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от 25 мест и выше</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20</w:t>
            </w:r>
          </w:p>
        </w:tc>
      </w:tr>
      <w:tr w:rsidR="006A1F06" w:rsidRPr="00CB31EE" w:rsidTr="00F3098A">
        <w:tc>
          <w:tcPr>
            <w:tcW w:w="0" w:type="auto"/>
            <w:vMerge/>
            <w:tcBorders>
              <w:top w:val="nil"/>
              <w:left w:val="nil"/>
              <w:bottom w:val="nil"/>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от 21 до 24 мест</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15</w:t>
            </w:r>
          </w:p>
        </w:tc>
      </w:tr>
      <w:tr w:rsidR="006A1F06" w:rsidRPr="00CB31EE" w:rsidTr="00F3098A">
        <w:tc>
          <w:tcPr>
            <w:tcW w:w="0" w:type="auto"/>
            <w:vMerge/>
            <w:tcBorders>
              <w:top w:val="nil"/>
              <w:left w:val="nil"/>
              <w:bottom w:val="nil"/>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от 18 до 20 мест</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10</w:t>
            </w:r>
          </w:p>
        </w:tc>
      </w:tr>
      <w:tr w:rsidR="006A1F06" w:rsidRPr="00CB31EE" w:rsidTr="00F3098A">
        <w:tc>
          <w:tcPr>
            <w:tcW w:w="0" w:type="auto"/>
            <w:vMerge/>
            <w:tcBorders>
              <w:top w:val="nil"/>
              <w:left w:val="nil"/>
              <w:bottom w:val="nil"/>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менее 18 мест</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5</w:t>
            </w:r>
          </w:p>
        </w:tc>
      </w:tr>
      <w:tr w:rsidR="006A1F06" w:rsidRPr="00CB31EE" w:rsidTr="00F3098A">
        <w:tc>
          <w:tcPr>
            <w:tcW w:w="190" w:type="pct"/>
            <w:vMerge w:val="restart"/>
            <w:tcBorders>
              <w:top w:val="nil"/>
              <w:left w:val="nil"/>
              <w:bottom w:val="single" w:sz="4" w:space="0" w:color="auto"/>
              <w:right w:val="single" w:sz="4" w:space="0" w:color="auto"/>
            </w:tcBorders>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оборудование автобуса для перевозки маломобильных групп населения, подтвержденное соответствующим документом (резервный подвижной состав не оценивается)</w:t>
            </w:r>
          </w:p>
        </w:tc>
        <w:tc>
          <w:tcPr>
            <w:tcW w:w="450" w:type="pct"/>
            <w:tcBorders>
              <w:top w:val="single" w:sz="4" w:space="0" w:color="auto"/>
              <w:left w:val="single" w:sz="4" w:space="0" w:color="auto"/>
              <w:bottom w:val="single" w:sz="4" w:space="0" w:color="auto"/>
              <w:right w:val="nil"/>
            </w:tcBorders>
          </w:tcPr>
          <w:p w:rsidR="006A1F06" w:rsidRPr="00CB31EE" w:rsidRDefault="006A1F06" w:rsidP="00F3098A"/>
        </w:tc>
      </w:tr>
      <w:tr w:rsidR="006A1F06" w:rsidRPr="00CB31EE" w:rsidTr="00F3098A">
        <w:tc>
          <w:tcPr>
            <w:tcW w:w="0" w:type="auto"/>
            <w:vMerge/>
            <w:tcBorders>
              <w:top w:val="nil"/>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 xml:space="preserve">за каждый автобус </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10</w:t>
            </w:r>
          </w:p>
        </w:tc>
      </w:tr>
      <w:tr w:rsidR="006A1F06" w:rsidRPr="00CB31EE" w:rsidTr="00F3098A">
        <w:tc>
          <w:tcPr>
            <w:tcW w:w="190" w:type="pct"/>
            <w:vMerge w:val="restart"/>
            <w:tcBorders>
              <w:top w:val="single" w:sz="4" w:space="0" w:color="auto"/>
              <w:left w:val="nil"/>
              <w:bottom w:val="single" w:sz="4" w:space="0" w:color="auto"/>
              <w:right w:val="single" w:sz="4" w:space="0" w:color="auto"/>
            </w:tcBorders>
            <w:hideMark/>
          </w:tcPr>
          <w:p w:rsidR="006A1F06" w:rsidRPr="00CB31EE" w:rsidRDefault="006A1F06" w:rsidP="00F3098A">
            <w:r w:rsidRPr="00CB31EE">
              <w:t>4.</w:t>
            </w:r>
          </w:p>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77740D">
            <w:r w:rsidRPr="00CB31EE">
              <w:t>Максимальный срок эксплуатации транспортных средств</w:t>
            </w:r>
            <w:bookmarkStart w:id="0" w:name="_GoBack"/>
            <w:bookmarkEnd w:id="0"/>
            <w:r w:rsidRPr="00CB31EE">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автобусу и сумма полученных баллов по всем автобусам делится на количество автобусов)</w:t>
            </w:r>
          </w:p>
        </w:tc>
        <w:tc>
          <w:tcPr>
            <w:tcW w:w="450" w:type="pct"/>
            <w:tcBorders>
              <w:top w:val="single" w:sz="4" w:space="0" w:color="auto"/>
              <w:left w:val="single" w:sz="4" w:space="0" w:color="auto"/>
              <w:bottom w:val="single" w:sz="4" w:space="0" w:color="auto"/>
              <w:right w:val="nil"/>
            </w:tcBorders>
          </w:tcPr>
          <w:p w:rsidR="006A1F06" w:rsidRPr="00CB31EE" w:rsidRDefault="006A1F06" w:rsidP="00F3098A"/>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до 3 лет</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15</w:t>
            </w:r>
          </w:p>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от 3 до 7 лет включительно</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10</w:t>
            </w:r>
          </w:p>
        </w:tc>
      </w:tr>
      <w:tr w:rsidR="006A1F06" w:rsidRPr="00CB31EE" w:rsidTr="00F3098A">
        <w:tc>
          <w:tcPr>
            <w:tcW w:w="0" w:type="auto"/>
            <w:vMerge/>
            <w:tcBorders>
              <w:top w:val="single" w:sz="4" w:space="0" w:color="auto"/>
              <w:left w:val="nil"/>
              <w:bottom w:val="single" w:sz="4" w:space="0" w:color="auto"/>
              <w:right w:val="single" w:sz="4" w:space="0" w:color="auto"/>
            </w:tcBorders>
            <w:vAlign w:val="center"/>
            <w:hideMark/>
          </w:tcPr>
          <w:p w:rsidR="006A1F06" w:rsidRPr="00CB31EE" w:rsidRDefault="006A1F06" w:rsidP="00F3098A"/>
        </w:tc>
        <w:tc>
          <w:tcPr>
            <w:tcW w:w="4360" w:type="pct"/>
            <w:tcBorders>
              <w:top w:val="single" w:sz="4" w:space="0" w:color="auto"/>
              <w:left w:val="single" w:sz="4" w:space="0" w:color="auto"/>
              <w:bottom w:val="single" w:sz="4" w:space="0" w:color="auto"/>
              <w:right w:val="single" w:sz="4" w:space="0" w:color="auto"/>
            </w:tcBorders>
            <w:hideMark/>
          </w:tcPr>
          <w:p w:rsidR="006A1F06" w:rsidRPr="00CB31EE" w:rsidRDefault="006A1F06" w:rsidP="00F3098A">
            <w:r w:rsidRPr="00CB31EE">
              <w:t>свыше 7 лет</w:t>
            </w:r>
          </w:p>
        </w:tc>
        <w:tc>
          <w:tcPr>
            <w:tcW w:w="450" w:type="pct"/>
            <w:tcBorders>
              <w:top w:val="single" w:sz="4" w:space="0" w:color="auto"/>
              <w:left w:val="single" w:sz="4" w:space="0" w:color="auto"/>
              <w:bottom w:val="single" w:sz="4" w:space="0" w:color="auto"/>
              <w:right w:val="nil"/>
            </w:tcBorders>
            <w:hideMark/>
          </w:tcPr>
          <w:p w:rsidR="006A1F06" w:rsidRPr="00CB31EE" w:rsidRDefault="006A1F06" w:rsidP="00F3098A">
            <w:r w:rsidRPr="00CB31EE">
              <w:t>5</w:t>
            </w:r>
          </w:p>
        </w:tc>
      </w:tr>
    </w:tbl>
    <w:p w:rsidR="006A1F06" w:rsidRPr="00467FCF" w:rsidRDefault="006A1F06" w:rsidP="006A1F06">
      <w:pPr>
        <w:suppressAutoHyphens/>
        <w:spacing w:line="360" w:lineRule="auto"/>
        <w:ind w:right="-23"/>
        <w:jc w:val="center"/>
        <w:rPr>
          <w:rFonts w:eastAsia="Arial Unicode MS"/>
          <w:bCs/>
          <w:sz w:val="20"/>
          <w:szCs w:val="20"/>
          <w:u w:val="single"/>
          <w:lang w:eastAsia="zh-CN"/>
        </w:rPr>
      </w:pPr>
    </w:p>
    <w:p w:rsidR="00094D2F" w:rsidRDefault="00094D2F"/>
    <w:sectPr w:rsidR="00094D2F" w:rsidSect="00CB31EE">
      <w:pgSz w:w="11906" w:h="16838"/>
      <w:pgMar w:top="1418" w:right="567" w:bottom="99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26"/>
    <w:rsid w:val="00094D2F"/>
    <w:rsid w:val="006A1F06"/>
    <w:rsid w:val="00753826"/>
    <w:rsid w:val="0077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w:basedOn w:val="a"/>
    <w:rsid w:val="006A1F06"/>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w:basedOn w:val="a"/>
    <w:rsid w:val="006A1F0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Минтранс ЧР Королёва Эльмира</dc:creator>
  <cp:keywords/>
  <dc:description/>
  <cp:lastModifiedBy>Минтранс ЧР Королёва Эльмира</cp:lastModifiedBy>
  <cp:revision>3</cp:revision>
  <dcterms:created xsi:type="dcterms:W3CDTF">2019-03-27T14:01:00Z</dcterms:created>
  <dcterms:modified xsi:type="dcterms:W3CDTF">2019-03-27T15:34:00Z</dcterms:modified>
</cp:coreProperties>
</file>