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1235A9">
        <w:tc>
          <w:tcPr>
            <w:tcW w:w="4037" w:type="dxa"/>
            <w:shd w:val="clear" w:color="auto" w:fill="auto"/>
          </w:tcPr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  <w:p w:rsidR="001235A9" w:rsidRPr="00934C59" w:rsidRDefault="001235A9" w:rsidP="001235A9">
            <w:pPr>
              <w:ind w:firstLine="284"/>
              <w:jc w:val="center"/>
            </w:pPr>
            <w:r w:rsidRPr="00934C59">
              <w:rPr>
                <w:noProof/>
              </w:rPr>
              <w:drawing>
                <wp:inline distT="0" distB="0" distL="0" distR="0" wp14:anchorId="0667583D" wp14:editId="45B0CDB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</w:p>
          <w:p w:rsidR="001235A9" w:rsidRPr="00934C59" w:rsidRDefault="001235A9" w:rsidP="001235A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1235A9">
              <w:trPr>
                <w:cantSplit/>
                <w:trHeight w:val="253"/>
              </w:trPr>
              <w:tc>
                <w:tcPr>
                  <w:tcW w:w="3628" w:type="dxa"/>
                </w:tcPr>
                <w:p w:rsidR="001235A9" w:rsidRPr="00934C59" w:rsidRDefault="001235A9" w:rsidP="000F4EF0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235A9" w:rsidRPr="00934C59" w:rsidRDefault="001235A9" w:rsidP="000F4EF0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1235A9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0F4EF0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0F4EF0">
                  <w:pPr>
                    <w:framePr w:hSpace="180" w:wrap="around" w:hAnchor="margin" w:y="435"/>
                  </w:pPr>
                </w:p>
                <w:p w:rsidR="00A064D4" w:rsidRDefault="001235A9" w:rsidP="000F4EF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3323A9">
                    <w:rPr>
                      <w:rFonts w:ascii="Times New Roman" w:hAnsi="Times New Roman" w:cs="Times New Roman"/>
                      <w:noProof/>
                      <w:sz w:val="26"/>
                    </w:rPr>
                    <w:t>17.07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.2019  № </w:t>
                  </w:r>
                  <w:r w:rsidR="003323A9">
                    <w:rPr>
                      <w:rFonts w:ascii="Times New Roman" w:hAnsi="Times New Roman" w:cs="Times New Roman"/>
                      <w:noProof/>
                    </w:rPr>
                    <w:t>438</w:t>
                  </w:r>
                </w:p>
                <w:p w:rsidR="001235A9" w:rsidRPr="00934C59" w:rsidRDefault="001235A9" w:rsidP="000F4EF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0F4EF0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0F4EF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0F4EF0">
                  <w:pPr>
                    <w:framePr w:hSpace="180" w:wrap="around" w:hAnchor="margin" w:y="435"/>
                  </w:pPr>
                </w:p>
                <w:p w:rsidR="00A064D4" w:rsidRDefault="003323A9" w:rsidP="000F4EF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17.07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.2019  № 438</w:t>
                  </w:r>
                </w:p>
                <w:p w:rsidR="001235A9" w:rsidRPr="00934C59" w:rsidRDefault="001235A9" w:rsidP="000F4EF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403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EB7620">
      <w:pPr>
        <w:pStyle w:val="a5"/>
        <w:tabs>
          <w:tab w:val="left" w:pos="6237"/>
        </w:tabs>
        <w:ind w:right="3825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34C59">
        <w:rPr>
          <w:rFonts w:ascii="Times New Roman" w:hAnsi="Times New Roman" w:cs="Times New Roman"/>
        </w:rPr>
        <w:t xml:space="preserve">В целях достижения высоких стандартов благосостояния населения, повышения безопасности жизнедеятельности населения и территорий Шумерлинского района Чувашской Республики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934C59" w:rsidRDefault="00E55D64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   </w:t>
      </w:r>
      <w:r w:rsidRPr="00934C59">
        <w:rPr>
          <w:szCs w:val="24"/>
        </w:rPr>
        <w:t xml:space="preserve"> </w:t>
      </w:r>
      <w:proofErr w:type="spellStart"/>
      <w:r w:rsidR="0068060D" w:rsidRPr="00934C59">
        <w:rPr>
          <w:szCs w:val="24"/>
        </w:rPr>
        <w:t>Рафинов</w:t>
      </w:r>
      <w:proofErr w:type="spellEnd"/>
      <w:r w:rsidRPr="00934C59">
        <w:rPr>
          <w:szCs w:val="24"/>
        </w:rPr>
        <w:t xml:space="preserve"> </w:t>
      </w:r>
      <w:r w:rsidR="0068060D" w:rsidRPr="00934C59">
        <w:rPr>
          <w:szCs w:val="24"/>
        </w:rPr>
        <w:t>Л</w:t>
      </w:r>
      <w:r w:rsidRPr="00934C59">
        <w:rPr>
          <w:szCs w:val="24"/>
        </w:rPr>
        <w:t>.</w:t>
      </w:r>
      <w:r w:rsidR="0068060D" w:rsidRPr="00934C59">
        <w:rPr>
          <w:szCs w:val="24"/>
        </w:rPr>
        <w:t>Г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D07AFB" w:rsidRDefault="00EB7620" w:rsidP="00EB7620">
      <w:pPr>
        <w:ind w:left="4500" w:firstLine="36"/>
        <w:rPr>
          <w:szCs w:val="24"/>
        </w:rPr>
      </w:pPr>
      <w:r>
        <w:rPr>
          <w:szCs w:val="24"/>
        </w:rPr>
        <w:t>Приложение к постановлению</w:t>
      </w:r>
      <w:r w:rsidR="000E6253" w:rsidRPr="00D07AFB">
        <w:rPr>
          <w:szCs w:val="24"/>
        </w:rPr>
        <w:t xml:space="preserve"> администрации Шумерлинского района Чувашской Республики</w:t>
      </w:r>
      <w:r>
        <w:rPr>
          <w:szCs w:val="24"/>
        </w:rPr>
        <w:t xml:space="preserve"> </w:t>
      </w:r>
      <w:r w:rsidR="000E6253" w:rsidRPr="00D07AFB">
        <w:rPr>
          <w:szCs w:val="24"/>
        </w:rPr>
        <w:t xml:space="preserve">от    </w:t>
      </w:r>
      <w:r w:rsidR="003323A9">
        <w:rPr>
          <w:szCs w:val="24"/>
        </w:rPr>
        <w:t>17.07.</w:t>
      </w:r>
      <w:r w:rsidR="000E6253" w:rsidRPr="00D07AFB">
        <w:rPr>
          <w:szCs w:val="24"/>
        </w:rPr>
        <w:t xml:space="preserve">2019 г.   № </w:t>
      </w:r>
      <w:r w:rsidR="003323A9">
        <w:rPr>
          <w:szCs w:val="24"/>
        </w:rPr>
        <w:t>438</w:t>
      </w:r>
      <w:bookmarkStart w:id="0" w:name="_GoBack"/>
      <w:bookmarkEnd w:id="0"/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307194" w:rsidP="005150E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lastRenderedPageBreak/>
        <w:t xml:space="preserve"> 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</w:t>
      </w:r>
      <w:proofErr w:type="gramStart"/>
      <w:r w:rsidRPr="00934C59">
        <w:rPr>
          <w:szCs w:val="24"/>
        </w:rPr>
        <w:t>е-</w:t>
      </w:r>
      <w:proofErr w:type="gramEnd"/>
      <w:r w:rsidRPr="00934C59">
        <w:rPr>
          <w:szCs w:val="24"/>
        </w:rPr>
        <w:t xml:space="preserve">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D07AFB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 комплекса "Безопасный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F10DCC">
              <w:rPr>
                <w:szCs w:val="24"/>
              </w:rPr>
              <w:t>28716</w:t>
            </w:r>
            <w:r w:rsidR="008A2A43">
              <w:rPr>
                <w:szCs w:val="24"/>
              </w:rPr>
              <w:t>,</w:t>
            </w:r>
            <w:r w:rsidR="00F10DCC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6547</w:t>
            </w:r>
            <w:r w:rsidR="005150E6">
              <w:rPr>
                <w:szCs w:val="24"/>
              </w:rPr>
              <w:t>,</w:t>
            </w:r>
            <w:r w:rsidR="00F10DCC">
              <w:rPr>
                <w:szCs w:val="24"/>
              </w:rPr>
              <w:t>2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1A6FA9" w:rsidRPr="00934C59"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>бюджета Чувашской Республики – 4877</w:t>
            </w:r>
            <w:r>
              <w:rPr>
                <w:szCs w:val="24"/>
              </w:rPr>
              <w:t>,</w:t>
            </w:r>
            <w:r w:rsidR="00F10DCC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 xml:space="preserve">4877,8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23</w:t>
            </w:r>
            <w:r w:rsidR="002E0BFA">
              <w:rPr>
                <w:szCs w:val="24"/>
              </w:rPr>
              <w:t>838</w:t>
            </w:r>
            <w:r w:rsidR="004F0CB4">
              <w:rPr>
                <w:szCs w:val="24"/>
              </w:rPr>
              <w:t>,</w:t>
            </w:r>
            <w:r w:rsidR="002E0BFA">
              <w:rPr>
                <w:szCs w:val="24"/>
              </w:rPr>
              <w:t>9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proofErr w:type="gramStart"/>
            <w:r w:rsidRPr="00934C59">
              <w:rPr>
                <w:szCs w:val="24"/>
              </w:rPr>
              <w:t xml:space="preserve"> ,</w:t>
            </w:r>
            <w:proofErr w:type="gramEnd"/>
            <w:r w:rsidRPr="00934C59">
              <w:rPr>
                <w:szCs w:val="24"/>
              </w:rPr>
              <w:t xml:space="preserve">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461D5E">
              <w:rPr>
                <w:szCs w:val="24"/>
              </w:rPr>
              <w:t>1669</w:t>
            </w:r>
            <w:r w:rsidR="007D60E8">
              <w:rPr>
                <w:szCs w:val="24"/>
              </w:rPr>
              <w:t>,</w:t>
            </w:r>
            <w:r w:rsidR="00461D5E">
              <w:rPr>
                <w:szCs w:val="24"/>
              </w:rPr>
              <w:t>4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1251,7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1251,7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</w:t>
      </w:r>
      <w:proofErr w:type="gramStart"/>
      <w:r w:rsidRPr="00934C59">
        <w:rPr>
          <w:szCs w:val="24"/>
        </w:rPr>
        <w:t>–Ч</w:t>
      </w:r>
      <w:proofErr w:type="gramEnd"/>
      <w:r w:rsidRPr="00934C59">
        <w:rPr>
          <w:szCs w:val="24"/>
        </w:rPr>
        <w:t>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уровня готовности систем оповещения населения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формирование коммуникационной платформы для органов местного самоуправления в Шумерлинском районе Чувашской Республике с целью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</w:t>
      </w:r>
      <w:r w:rsidRPr="00934C59">
        <w:rPr>
          <w:szCs w:val="24"/>
        </w:rPr>
        <w:lastRenderedPageBreak/>
        <w:t>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Сведения о целевых индикаторах и показателях </w:t>
      </w:r>
      <w:proofErr w:type="gramStart"/>
      <w:r w:rsidRPr="00934C59">
        <w:rPr>
          <w:szCs w:val="24"/>
        </w:rPr>
        <w:t>Муниципальная</w:t>
      </w:r>
      <w:proofErr w:type="gramEnd"/>
      <w:r w:rsidRPr="00934C59">
        <w:rPr>
          <w:szCs w:val="24"/>
        </w:rPr>
        <w:t xml:space="preserve">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</w:t>
      </w:r>
      <w:proofErr w:type="spellStart"/>
      <w:proofErr w:type="gramStart"/>
      <w:r w:rsidRPr="00934C59">
        <w:rPr>
          <w:szCs w:val="24"/>
        </w:rPr>
        <w:t>терри</w:t>
      </w:r>
      <w:proofErr w:type="spellEnd"/>
      <w:r w:rsidRPr="00934C59">
        <w:rPr>
          <w:szCs w:val="24"/>
        </w:rPr>
        <w:t>-тории</w:t>
      </w:r>
      <w:proofErr w:type="gramEnd"/>
      <w:r w:rsidRPr="00934C59">
        <w:rPr>
          <w:szCs w:val="24"/>
        </w:rPr>
        <w:t xml:space="preserve">  Шумерлинского района.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Предусматриваются обеспечение необходимого уровня пожарной безопасности и </w:t>
      </w:r>
      <w:proofErr w:type="gramStart"/>
      <w:r w:rsidRPr="00934C59">
        <w:rPr>
          <w:szCs w:val="24"/>
        </w:rPr>
        <w:t>мини-</w:t>
      </w:r>
      <w:proofErr w:type="spellStart"/>
      <w:r w:rsidRPr="00934C59">
        <w:rPr>
          <w:szCs w:val="24"/>
        </w:rPr>
        <w:t>мизация</w:t>
      </w:r>
      <w:proofErr w:type="spellEnd"/>
      <w:proofErr w:type="gramEnd"/>
      <w:r w:rsidRPr="00934C59">
        <w:rPr>
          <w:szCs w:val="24"/>
        </w:rPr>
        <w:t xml:space="preserve">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ор-</w:t>
      </w:r>
      <w:proofErr w:type="spellStart"/>
      <w:r w:rsidRPr="00934C59">
        <w:rPr>
          <w:szCs w:val="24"/>
        </w:rPr>
        <w:t>ганов</w:t>
      </w:r>
      <w:proofErr w:type="spellEnd"/>
      <w:r w:rsidRPr="00934C59">
        <w:rPr>
          <w:szCs w:val="24"/>
        </w:rPr>
        <w:t xml:space="preserve"> местного самоуправления и организаций по исполнению ими своих функций и полно-</w:t>
      </w:r>
      <w:proofErr w:type="spellStart"/>
      <w:r w:rsidRPr="00934C59">
        <w:rPr>
          <w:szCs w:val="24"/>
        </w:rPr>
        <w:t>мочий</w:t>
      </w:r>
      <w:proofErr w:type="spellEnd"/>
      <w:r w:rsidRPr="00934C59">
        <w:rPr>
          <w:szCs w:val="24"/>
        </w:rPr>
        <w:t xml:space="preserve">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реализация мероприятий по развитию системы обеспечения вызова экстренных опера-</w:t>
      </w:r>
      <w:proofErr w:type="spellStart"/>
      <w:r w:rsidRPr="00934C59">
        <w:rPr>
          <w:szCs w:val="24"/>
        </w:rPr>
        <w:t>тивных</w:t>
      </w:r>
      <w:proofErr w:type="spellEnd"/>
      <w:r w:rsidRPr="00934C59">
        <w:rPr>
          <w:szCs w:val="24"/>
        </w:rPr>
        <w:t xml:space="preserve">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</w:t>
      </w:r>
      <w:proofErr w:type="spellStart"/>
      <w:r w:rsidRPr="00934C59">
        <w:rPr>
          <w:szCs w:val="24"/>
        </w:rPr>
        <w:t>ресур</w:t>
      </w:r>
      <w:proofErr w:type="spellEnd"/>
      <w:r w:rsidRPr="00934C59">
        <w:rPr>
          <w:szCs w:val="24"/>
        </w:rPr>
        <w:t>-сов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</w:t>
      </w:r>
      <w:proofErr w:type="spellStart"/>
      <w:proofErr w:type="gramStart"/>
      <w:r w:rsidRPr="00934C59">
        <w:rPr>
          <w:szCs w:val="24"/>
        </w:rPr>
        <w:t>са-моуправления</w:t>
      </w:r>
      <w:proofErr w:type="spellEnd"/>
      <w:proofErr w:type="gramEnd"/>
      <w:r w:rsidRPr="00934C59">
        <w:rPr>
          <w:szCs w:val="24"/>
        </w:rPr>
        <w:t xml:space="preserve">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научно-практических конференций и круглых столов по вопросам </w:t>
      </w:r>
      <w:proofErr w:type="spellStart"/>
      <w:proofErr w:type="gramStart"/>
      <w:r w:rsidRPr="00934C59">
        <w:rPr>
          <w:szCs w:val="24"/>
        </w:rPr>
        <w:t>профилак</w:t>
      </w:r>
      <w:proofErr w:type="spellEnd"/>
      <w:r w:rsidRPr="00934C59">
        <w:rPr>
          <w:szCs w:val="24"/>
        </w:rPr>
        <w:t>-тики</w:t>
      </w:r>
      <w:proofErr w:type="gram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повышение квалификации и обучение педагогов-психологов образовательных </w:t>
      </w:r>
      <w:proofErr w:type="spellStart"/>
      <w:proofErr w:type="gramStart"/>
      <w:r w:rsidRPr="00934C59">
        <w:rPr>
          <w:szCs w:val="24"/>
        </w:rPr>
        <w:t>организа-ций</w:t>
      </w:r>
      <w:proofErr w:type="spellEnd"/>
      <w:proofErr w:type="gramEnd"/>
      <w:r w:rsidRPr="00934C59">
        <w:rPr>
          <w:szCs w:val="24"/>
        </w:rPr>
        <w:t xml:space="preserve">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взаимодействие с руководителями организаций в целях обеспечения социального, </w:t>
      </w:r>
      <w:proofErr w:type="gramStart"/>
      <w:r w:rsidRPr="00934C59">
        <w:rPr>
          <w:szCs w:val="24"/>
        </w:rPr>
        <w:t>наци-</w:t>
      </w:r>
      <w:proofErr w:type="spellStart"/>
      <w:r w:rsidRPr="00934C59">
        <w:rPr>
          <w:szCs w:val="24"/>
        </w:rPr>
        <w:t>онального</w:t>
      </w:r>
      <w:proofErr w:type="spellEnd"/>
      <w:proofErr w:type="gramEnd"/>
      <w:r w:rsidRPr="00934C59">
        <w:rPr>
          <w:szCs w:val="24"/>
        </w:rPr>
        <w:t xml:space="preserve">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</w:t>
      </w:r>
      <w:proofErr w:type="gramStart"/>
      <w:r w:rsidRPr="00934C59">
        <w:rPr>
          <w:szCs w:val="24"/>
        </w:rPr>
        <w:t>об-</w:t>
      </w:r>
      <w:proofErr w:type="spellStart"/>
      <w:r w:rsidRPr="00934C59">
        <w:rPr>
          <w:szCs w:val="24"/>
        </w:rPr>
        <w:t>разования</w:t>
      </w:r>
      <w:proofErr w:type="spellEnd"/>
      <w:proofErr w:type="gramEnd"/>
      <w:r w:rsidRPr="00934C59">
        <w:rPr>
          <w:szCs w:val="24"/>
        </w:rPr>
        <w:t>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мероприятий, направленных на правовое просвещение населения, </w:t>
      </w:r>
      <w:proofErr w:type="spellStart"/>
      <w:proofErr w:type="gramStart"/>
      <w:r w:rsidRPr="00934C59">
        <w:rPr>
          <w:szCs w:val="24"/>
        </w:rPr>
        <w:t>формиро-вание</w:t>
      </w:r>
      <w:proofErr w:type="spellEnd"/>
      <w:proofErr w:type="gramEnd"/>
      <w:r w:rsidRPr="00934C59">
        <w:rPr>
          <w:szCs w:val="24"/>
        </w:rPr>
        <w:t xml:space="preserve">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мероприятий, направленных на организацию содержательного досуга </w:t>
      </w:r>
      <w:proofErr w:type="spellStart"/>
      <w:proofErr w:type="gramStart"/>
      <w:r w:rsidRPr="00934C59">
        <w:rPr>
          <w:szCs w:val="24"/>
        </w:rPr>
        <w:t>моло-дежи</w:t>
      </w:r>
      <w:proofErr w:type="spellEnd"/>
      <w:proofErr w:type="gramEnd"/>
      <w:r w:rsidRPr="00934C59">
        <w:rPr>
          <w:szCs w:val="24"/>
        </w:rPr>
        <w:t xml:space="preserve">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</w:t>
      </w:r>
      <w:proofErr w:type="gramStart"/>
      <w:r w:rsidRPr="00934C59">
        <w:rPr>
          <w:szCs w:val="24"/>
        </w:rPr>
        <w:t>принуди-тельной</w:t>
      </w:r>
      <w:proofErr w:type="gramEnd"/>
      <w:r w:rsidRPr="00934C59">
        <w:rPr>
          <w:szCs w:val="24"/>
        </w:rPr>
        <w:t xml:space="preserve">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</w:t>
      </w:r>
      <w:proofErr w:type="gramStart"/>
      <w:r w:rsidRPr="00934C59">
        <w:rPr>
          <w:szCs w:val="24"/>
        </w:rPr>
        <w:t>за-</w:t>
      </w:r>
      <w:proofErr w:type="spellStart"/>
      <w:r w:rsidRPr="00934C59">
        <w:rPr>
          <w:szCs w:val="24"/>
        </w:rPr>
        <w:t>ключаемыми</w:t>
      </w:r>
      <w:proofErr w:type="spellEnd"/>
      <w:proofErr w:type="gramEnd"/>
      <w:r w:rsidRPr="00934C59">
        <w:rPr>
          <w:szCs w:val="24"/>
        </w:rPr>
        <w:t xml:space="preserve">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 проведение рабочих встреч по вопросам </w:t>
      </w:r>
      <w:proofErr w:type="gramStart"/>
      <w:r w:rsidRPr="00934C59">
        <w:rPr>
          <w:szCs w:val="24"/>
        </w:rPr>
        <w:t>профи-</w:t>
      </w:r>
      <w:proofErr w:type="spellStart"/>
      <w:r w:rsidRPr="00934C59">
        <w:rPr>
          <w:szCs w:val="24"/>
        </w:rPr>
        <w:t>лактики</w:t>
      </w:r>
      <w:proofErr w:type="spellEnd"/>
      <w:proofErr w:type="gram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экстре-</w:t>
      </w:r>
      <w:proofErr w:type="spellStart"/>
      <w:r w:rsidRPr="00934C59">
        <w:rPr>
          <w:szCs w:val="24"/>
        </w:rPr>
        <w:t>мистских</w:t>
      </w:r>
      <w:proofErr w:type="spellEnd"/>
      <w:r w:rsidRPr="00934C59">
        <w:rPr>
          <w:szCs w:val="24"/>
        </w:rPr>
        <w:t xml:space="preserve"> организаций.</w:t>
      </w:r>
    </w:p>
    <w:p w:rsidR="006C497A" w:rsidRPr="00934C59" w:rsidRDefault="006C497A" w:rsidP="006C497A">
      <w:pPr>
        <w:rPr>
          <w:b/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объединяет четыре основных мероприятия: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21135" w:rsidRPr="00934C59" w:rsidRDefault="006C497A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59">
        <w:rPr>
          <w:rFonts w:ascii="Times New Roman" w:hAnsi="Times New Roman" w:cs="Times New Roman"/>
          <w:sz w:val="24"/>
          <w:szCs w:val="24"/>
        </w:rPr>
        <w:t xml:space="preserve">Предусматривается реализация мероприятий по развитию системы-112 на </w:t>
      </w:r>
      <w:r w:rsidR="00AE33B2" w:rsidRPr="00934C59">
        <w:rPr>
          <w:rFonts w:ascii="Times New Roman" w:hAnsi="Times New Roman" w:cs="Times New Roman"/>
          <w:sz w:val="24"/>
          <w:szCs w:val="24"/>
        </w:rPr>
        <w:t>Шумерлин</w:t>
      </w:r>
      <w:r w:rsidRPr="00934C59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rFonts w:ascii="Times New Roman" w:hAnsi="Times New Roman" w:cs="Times New Roman"/>
          <w:sz w:val="24"/>
          <w:szCs w:val="24"/>
        </w:rPr>
        <w:t>экс</w:t>
      </w:r>
      <w:r w:rsidR="00621135" w:rsidRPr="00934C59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spellEnd"/>
      <w:r w:rsidR="00621135" w:rsidRPr="00934C59">
        <w:rPr>
          <w:rFonts w:ascii="Times New Roman" w:hAnsi="Times New Roman" w:cs="Times New Roman"/>
          <w:sz w:val="24"/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</w:t>
      </w:r>
      <w:proofErr w:type="gramEnd"/>
      <w:r w:rsidR="00621135" w:rsidRPr="00934C59">
        <w:rPr>
          <w:rFonts w:ascii="Times New Roman" w:hAnsi="Times New Roman" w:cs="Times New Roman"/>
          <w:sz w:val="24"/>
          <w:szCs w:val="24"/>
        </w:rPr>
        <w:t xml:space="preserve">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621135" w:rsidRPr="00934C59" w:rsidRDefault="00621135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lastRenderedPageBreak/>
        <w:t xml:space="preserve"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</w:t>
      </w:r>
      <w:proofErr w:type="spellStart"/>
      <w:r w:rsidRPr="00934C59">
        <w:t>правонарушений</w:t>
      </w:r>
      <w:bookmarkEnd w:id="7"/>
      <w:r w:rsidR="006C497A" w:rsidRPr="00934C59">
        <w:rPr>
          <w:szCs w:val="24"/>
        </w:rPr>
        <w:t>тренное</w:t>
      </w:r>
      <w:proofErr w:type="spellEnd"/>
      <w:r w:rsidR="006C497A" w:rsidRPr="00934C59">
        <w:rPr>
          <w:szCs w:val="24"/>
        </w:rPr>
        <w:t xml:space="preserve">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Шумерлинского района Чувашской Республики» предусматривает выполнение </w:t>
      </w:r>
      <w:proofErr w:type="spellStart"/>
      <w:r w:rsidRPr="00934C59">
        <w:rPr>
          <w:szCs w:val="24"/>
        </w:rPr>
        <w:t>общепрограммных</w:t>
      </w:r>
      <w:proofErr w:type="spellEnd"/>
      <w:r w:rsidRPr="00934C59">
        <w:rPr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Шумерлинского района Чувашской Республики от ЧС природного и техногенного характера.</w:t>
      </w:r>
    </w:p>
    <w:p w:rsidR="002C2CF8" w:rsidRPr="00934C59" w:rsidRDefault="002C2CF8" w:rsidP="002C2CF8">
      <w:pPr>
        <w:ind w:firstLine="720"/>
      </w:pPr>
      <w:r w:rsidRPr="00934C59">
        <w:t>Задачи Муниципальной программы будут решаться в рамках четырех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461D5E">
        <w:rPr>
          <w:szCs w:val="24"/>
        </w:rPr>
        <w:t>28716</w:t>
      </w:r>
      <w:r w:rsidR="00F12A8C">
        <w:rPr>
          <w:szCs w:val="24"/>
        </w:rPr>
        <w:t>,</w:t>
      </w:r>
      <w:r w:rsidR="00461D5E">
        <w:rPr>
          <w:szCs w:val="24"/>
        </w:rPr>
        <w:t>7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Pr="00F12A8C">
        <w:rPr>
          <w:szCs w:val="24"/>
        </w:rPr>
        <w:t>4</w:t>
      </w:r>
      <w:r w:rsidR="00461D5E">
        <w:rPr>
          <w:szCs w:val="24"/>
        </w:rPr>
        <w:t>877</w:t>
      </w:r>
      <w:r w:rsidRPr="00F12A8C">
        <w:rPr>
          <w:szCs w:val="24"/>
        </w:rPr>
        <w:t>,</w:t>
      </w:r>
      <w:r w:rsidR="00461D5E">
        <w:rPr>
          <w:szCs w:val="24"/>
        </w:rPr>
        <w:t>8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23</w:t>
      </w:r>
      <w:r w:rsidR="002E0BFA" w:rsidRPr="002E0BFA">
        <w:rPr>
          <w:szCs w:val="24"/>
        </w:rPr>
        <w:t>838</w:t>
      </w:r>
      <w:r w:rsidRPr="002E0BFA">
        <w:rPr>
          <w:szCs w:val="24"/>
        </w:rPr>
        <w:t>,</w:t>
      </w:r>
      <w:r w:rsidR="002E0BFA" w:rsidRPr="002E0BFA">
        <w:rPr>
          <w:szCs w:val="24"/>
        </w:rPr>
        <w:t>9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461D5E">
        <w:rPr>
          <w:szCs w:val="24"/>
        </w:rPr>
        <w:t>2733</w:t>
      </w:r>
      <w:r w:rsidR="00F87558">
        <w:rPr>
          <w:szCs w:val="24"/>
        </w:rPr>
        <w:t>,</w:t>
      </w:r>
      <w:r w:rsidR="00461D5E">
        <w:rPr>
          <w:szCs w:val="24"/>
        </w:rPr>
        <w:t>9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6547</w:t>
      </w:r>
      <w:r w:rsidRPr="00613EF8">
        <w:rPr>
          <w:szCs w:val="24"/>
        </w:rPr>
        <w:t>,</w:t>
      </w:r>
      <w:r w:rsidR="00461D5E">
        <w:rPr>
          <w:szCs w:val="24"/>
        </w:rPr>
        <w:t>2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325289">
        <w:rPr>
          <w:szCs w:val="24"/>
        </w:rPr>
        <w:t>4877</w:t>
      </w:r>
      <w:r w:rsidRPr="00613EF8">
        <w:rPr>
          <w:szCs w:val="24"/>
        </w:rPr>
        <w:t>,</w:t>
      </w:r>
      <w:r w:rsidR="00325289">
        <w:rPr>
          <w:szCs w:val="24"/>
        </w:rPr>
        <w:t>8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3</w:t>
      </w:r>
      <w:r w:rsidR="006169E9">
        <w:rPr>
          <w:szCs w:val="24"/>
        </w:rPr>
        <w:t>8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4877</w:t>
      </w:r>
      <w:r w:rsidRPr="00613EF8">
        <w:rPr>
          <w:szCs w:val="24"/>
        </w:rPr>
        <w:t>,</w:t>
      </w:r>
      <w:r w:rsidR="00325289">
        <w:rPr>
          <w:szCs w:val="24"/>
        </w:rPr>
        <w:t>8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6252FE">
        <w:rPr>
          <w:szCs w:val="24"/>
        </w:rPr>
        <w:t>7</w:t>
      </w:r>
      <w:r w:rsidR="006169E9">
        <w:rPr>
          <w:szCs w:val="24"/>
        </w:rPr>
        <w:t>856</w:t>
      </w:r>
      <w:r w:rsidR="006252FE">
        <w:rPr>
          <w:szCs w:val="24"/>
        </w:rPr>
        <w:t>,</w:t>
      </w:r>
      <w:r w:rsidR="006169E9">
        <w:rPr>
          <w:szCs w:val="24"/>
        </w:rPr>
        <w:t>1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6169E9">
        <w:rPr>
          <w:szCs w:val="24"/>
        </w:rPr>
        <w:t>2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1669</w:t>
      </w:r>
      <w:r w:rsidR="00F32B5B" w:rsidRPr="00F32B5B">
        <w:rPr>
          <w:szCs w:val="24"/>
        </w:rPr>
        <w:t>,</w:t>
      </w:r>
      <w:r w:rsidR="00325289">
        <w:rPr>
          <w:szCs w:val="24"/>
        </w:rPr>
        <w:t>4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1235A9">
          <w:headerReference w:type="even" r:id="rId11"/>
          <w:headerReference w:type="default" r:id="rId12"/>
          <w:footerReference w:type="default" r:id="rId13"/>
          <w:pgSz w:w="11906" w:h="16838"/>
          <w:pgMar w:top="567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3127D6">
        <w:trPr>
          <w:cantSplit/>
          <w:trHeight w:val="1945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F057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6547,2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86141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D01BDD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</w:t>
            </w:r>
            <w:r w:rsidR="00616B30">
              <w:rPr>
                <w:szCs w:val="24"/>
              </w:rPr>
              <w:t>8</w:t>
            </w:r>
            <w:r w:rsidRPr="00934C59">
              <w:rPr>
                <w:szCs w:val="24"/>
              </w:rPr>
              <w:t>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DF057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2B2AB5" w:rsidRPr="00934C59" w:rsidTr="003127D6">
        <w:trPr>
          <w:trHeight w:val="353"/>
        </w:trPr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B2AB5"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6169E9" w:rsidP="006169E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1669</w:t>
            </w:r>
            <w:r w:rsidR="002B2AB5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</w:t>
            </w:r>
            <w:r w:rsidRPr="00934C59">
              <w:rPr>
                <w:b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169E9" w:rsidRPr="00934C59" w:rsidRDefault="006169E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Развитие ГО, снижение рисков и </w:t>
            </w:r>
            <w:r w:rsidRPr="00934C59">
              <w:rPr>
                <w:szCs w:val="24"/>
              </w:rPr>
              <w:lastRenderedPageBreak/>
              <w:t>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 xml:space="preserve">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="00397B30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871C0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379</w:t>
            </w:r>
            <w:r w:rsidR="00F32B5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</w:t>
            </w:r>
            <w:r w:rsidRPr="00934C59">
              <w:rPr>
                <w:szCs w:val="24"/>
              </w:rPr>
              <w:lastRenderedPageBreak/>
              <w:t>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="000F7F7C" w:rsidRPr="00341296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</w:t>
            </w:r>
            <w:r w:rsidR="000F7F7C" w:rsidRPr="0034129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541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541E79">
              <w:rPr>
                <w:szCs w:val="24"/>
              </w:rPr>
              <w:t>6</w:t>
            </w:r>
            <w:r>
              <w:rPr>
                <w:szCs w:val="24"/>
              </w:rPr>
              <w:t>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0F7F7C">
              <w:rPr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261187" w:rsidRDefault="009B0EB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261187" w:rsidRDefault="001242E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</w:t>
            </w:r>
            <w:r w:rsidRPr="00934C59">
              <w:rPr>
                <w:szCs w:val="24"/>
              </w:rPr>
              <w:lastRenderedPageBreak/>
              <w:t>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Построение (развитие) аппаратно-программного комплекса 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12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12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безопасности на </w:t>
            </w:r>
            <w:r w:rsidRPr="00934C59">
              <w:rPr>
                <w:szCs w:val="24"/>
              </w:rPr>
              <w:lastRenderedPageBreak/>
              <w:t>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 w:val="restart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1242EF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>Внедрение аппаратно-программного комплекса "Безопа</w:t>
            </w:r>
            <w:r>
              <w:rPr>
                <w:szCs w:val="24"/>
              </w:rPr>
              <w:t>сное муниципальное образование"</w:t>
            </w: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41296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 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природного и техногенного характера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DF057F">
              <w:rPr>
                <w:szCs w:val="24"/>
              </w:rPr>
              <w:t>0,0</w:t>
            </w:r>
            <w:r w:rsidR="000056EB"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1235A9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</w:t>
      </w:r>
      <w:r w:rsidRPr="00934C59">
        <w:rPr>
          <w:szCs w:val="24"/>
        </w:rPr>
        <w:lastRenderedPageBreak/>
        <w:t xml:space="preserve">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1" w:name="Par4660"/>
      <w:bookmarkStart w:id="22" w:name="Par4690"/>
      <w:bookmarkEnd w:id="21"/>
      <w:bookmarkEnd w:id="22"/>
      <w:r w:rsidRPr="00934C59">
        <w:rPr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территории  Шумерлинского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оказание содействия в оснащении противопожарной службы техникой, оборудованием и </w:t>
      </w:r>
      <w:r w:rsidRPr="00934C59">
        <w:rPr>
          <w:szCs w:val="24"/>
        </w:rPr>
        <w:lastRenderedPageBreak/>
        <w:t>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D67170" w:rsidRPr="00934C59">
        <w:rPr>
          <w:szCs w:val="24"/>
        </w:rPr>
        <w:t>Шумерлин</w:t>
      </w:r>
      <w:r w:rsidRPr="00934C59">
        <w:rPr>
          <w:szCs w:val="24"/>
        </w:rPr>
        <w:t>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3" w:name="Par4708"/>
      <w:bookmarkEnd w:id="23"/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934C59">
        <w:rPr>
          <w:szCs w:val="24"/>
        </w:rPr>
        <w:t xml:space="preserve">Раздел </w:t>
      </w:r>
      <w:r w:rsidRPr="00934C59">
        <w:rPr>
          <w:szCs w:val="24"/>
          <w:lang w:val="en-US"/>
        </w:rPr>
        <w:t>I</w:t>
      </w:r>
      <w:r w:rsidRPr="00934C59">
        <w:rPr>
          <w:szCs w:val="24"/>
        </w:rPr>
        <w:t>V. Обоснование объема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  <w:r w:rsidRPr="00934C59">
        <w:rPr>
          <w:szCs w:val="24"/>
        </w:rPr>
        <w:t xml:space="preserve">необходимых для реализации подпрограммы в </w:t>
      </w:r>
      <w:r w:rsidR="00D67170" w:rsidRPr="00934C59">
        <w:rPr>
          <w:szCs w:val="24"/>
        </w:rPr>
        <w:t xml:space="preserve">2019-2035 </w:t>
      </w:r>
      <w:r w:rsidRPr="00934C59">
        <w:rPr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DF057F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  <w:r w:rsidRPr="00934C59">
        <w:rPr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Default="00976F0D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311228" w:rsidRPr="00934C59" w:rsidTr="00945F8C">
        <w:trPr>
          <w:tblCellSpacing w:w="5" w:type="nil"/>
        </w:trPr>
        <w:tc>
          <w:tcPr>
            <w:tcW w:w="993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1228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1228" w:rsidRDefault="00311228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993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5F8C" w:rsidRDefault="00945F8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Шумерлинского района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</w:t>
            </w:r>
            <w:r w:rsidRPr="00934C59">
              <w:rPr>
                <w:szCs w:val="24"/>
              </w:rPr>
              <w:lastRenderedPageBreak/>
              <w:t>спасания людей и материальных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</w:t>
            </w:r>
            <w:r w:rsidRPr="00934C59">
              <w:rPr>
                <w:szCs w:val="24"/>
              </w:rPr>
              <w:lastRenderedPageBreak/>
              <w:t>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</w:t>
            </w:r>
            <w:r w:rsidRPr="00934C59">
              <w:rPr>
                <w:szCs w:val="24"/>
              </w:rPr>
              <w:lastRenderedPageBreak/>
              <w:t>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</w:t>
            </w:r>
            <w:r w:rsidRPr="00934C59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</w:t>
            </w:r>
            <w:r w:rsidRPr="00934C59">
              <w:rPr>
                <w:szCs w:val="24"/>
              </w:rPr>
              <w:lastRenderedPageBreak/>
              <w:t>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безопасности жизнедеятельности населения Шумерлинского района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информационно-технической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дооснащение единого дежурно-диспетчерск</w:t>
            </w:r>
            <w:r w:rsidRPr="00934C59">
              <w:rPr>
                <w:szCs w:val="24"/>
              </w:rPr>
              <w:lastRenderedPageBreak/>
              <w:t>ой службы Шумерлинского района  и дежурно-диспетчерских служб экстренных оперативных служб района программно-техническими комплексами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создание системы обучения персонала системе - 112 и организация информирования населения</w:t>
            </w: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976F0D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976F0D" w:rsidRPr="00934C59" w:rsidRDefault="00976F0D" w:rsidP="00C913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</w:t>
            </w:r>
            <w:r>
              <w:rPr>
                <w:szCs w:val="24"/>
              </w:rPr>
              <w:t>2510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76F0D" w:rsidRPr="00934C59" w:rsidRDefault="00976F0D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</w:t>
            </w:r>
            <w:r w:rsidRPr="00934C59">
              <w:rPr>
                <w:szCs w:val="24"/>
              </w:rPr>
              <w:lastRenderedPageBreak/>
              <w:t>раммы, увязанный с 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оправдавшихся прогнозов чрезвычайных ситуаций природного и техногенного характера (достоверность </w:t>
            </w:r>
            <w:r w:rsidRPr="00934C59">
              <w:rPr>
                <w:szCs w:val="24"/>
              </w:rPr>
              <w:lastRenderedPageBreak/>
              <w:t>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</w:t>
            </w:r>
            <w:r w:rsidRPr="00934C59">
              <w:rPr>
                <w:szCs w:val="24"/>
              </w:rPr>
              <w:lastRenderedPageBreak/>
              <w:t>(индикатор) подпрограммы, увязанный с основным мероприятием 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70563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</w:t>
            </w:r>
            <w:r w:rsidRPr="00934C59">
              <w:rPr>
                <w:szCs w:val="24"/>
              </w:rPr>
              <w:lastRenderedPageBreak/>
              <w:t>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70563A">
              <w:rPr>
                <w:szCs w:val="24"/>
              </w:rPr>
              <w:t>7169</w:t>
            </w:r>
            <w:r w:rsidR="00647A60" w:rsidRP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5</w:t>
            </w:r>
            <w:r w:rsidR="00647A60" w:rsidRP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47A60" w:rsidRPr="00934C59" w:rsidRDefault="00647A6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47A60">
              <w:rPr>
                <w:szCs w:val="24"/>
              </w:rPr>
              <w:t xml:space="preserve">республиканского бюджета Чувашской Республики – </w:t>
            </w:r>
            <w:r w:rsidR="0070563A">
              <w:rPr>
                <w:szCs w:val="24"/>
              </w:rPr>
              <w:t>4877,8</w:t>
            </w:r>
            <w:r w:rsidRPr="00647A60">
              <w:rPr>
                <w:szCs w:val="24"/>
              </w:rPr>
              <w:t xml:space="preserve"> тыс. рублей (3</w:t>
            </w:r>
            <w:r w:rsidR="0070563A">
              <w:rPr>
                <w:szCs w:val="24"/>
              </w:rPr>
              <w:t>8</w:t>
            </w:r>
            <w:r w:rsidRP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Pr="00647A60">
              <w:rPr>
                <w:szCs w:val="24"/>
              </w:rPr>
              <w:t xml:space="preserve"> процента)</w:t>
            </w:r>
            <w:r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70563A">
              <w:rPr>
                <w:szCs w:val="24"/>
              </w:rPr>
              <w:t>2291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70563A">
              <w:rPr>
                <w:szCs w:val="24"/>
              </w:rPr>
              <w:t>5257</w:t>
            </w:r>
            <w:r w:rsidR="0097617B">
              <w:rPr>
                <w:szCs w:val="24"/>
              </w:rPr>
              <w:t>,</w:t>
            </w:r>
            <w:r w:rsidR="0070563A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6C497A" w:rsidRPr="00934C59">
              <w:rPr>
                <w:szCs w:val="24"/>
              </w:rPr>
              <w:t>0,0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DB1F36" w:rsidRPr="00934C59"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B1F36" w:rsidRPr="00934C59">
              <w:rPr>
                <w:szCs w:val="24"/>
              </w:rPr>
              <w:t xml:space="preserve">128,0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1235A9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1E08C7">
        <w:rPr>
          <w:szCs w:val="24"/>
        </w:rPr>
        <w:t>7169</w:t>
      </w:r>
      <w:r w:rsidR="00820149">
        <w:rPr>
          <w:szCs w:val="24"/>
        </w:rPr>
        <w:t>,</w:t>
      </w:r>
      <w:r w:rsidR="001E08C7">
        <w:rPr>
          <w:szCs w:val="24"/>
        </w:rPr>
        <w:t>5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4877,8 тыс. рублей (69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1E08C7">
        <w:rPr>
          <w:szCs w:val="24"/>
        </w:rPr>
        <w:t>22</w:t>
      </w:r>
      <w:r w:rsidR="00820149">
        <w:rPr>
          <w:szCs w:val="24"/>
        </w:rPr>
        <w:t>9</w:t>
      </w:r>
      <w:r w:rsidR="001E08C7">
        <w:rPr>
          <w:szCs w:val="24"/>
        </w:rPr>
        <w:t>1</w:t>
      </w:r>
      <w:r w:rsidR="00820149">
        <w:rPr>
          <w:szCs w:val="24"/>
        </w:rPr>
        <w:t>,</w:t>
      </w:r>
      <w:r w:rsidR="001E08C7">
        <w:rPr>
          <w:szCs w:val="24"/>
        </w:rPr>
        <w:t>7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31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70563A">
        <w:rPr>
          <w:szCs w:val="24"/>
        </w:rPr>
        <w:t>5769</w:t>
      </w:r>
      <w:r w:rsidR="0097617B">
        <w:rPr>
          <w:szCs w:val="24"/>
        </w:rPr>
        <w:t>,</w:t>
      </w:r>
      <w:r w:rsidR="0070563A">
        <w:rPr>
          <w:szCs w:val="24"/>
        </w:rPr>
        <w:t>5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5257</w:t>
      </w:r>
      <w:r w:rsidR="0097617B">
        <w:rPr>
          <w:szCs w:val="24"/>
        </w:rPr>
        <w:t>,</w:t>
      </w:r>
      <w:r w:rsidR="0070563A"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 0,0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EE427F" w:rsidRPr="00934C59">
        <w:rPr>
          <w:szCs w:val="24"/>
        </w:rPr>
        <w:t>1</w:t>
      </w:r>
      <w:r w:rsidRPr="00934C59">
        <w:rPr>
          <w:szCs w:val="24"/>
        </w:rPr>
        <w:t>2</w:t>
      </w:r>
      <w:r w:rsidR="00EE427F" w:rsidRPr="00934C59">
        <w:rPr>
          <w:szCs w:val="24"/>
        </w:rPr>
        <w:t>8,0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4877</w:t>
      </w:r>
      <w:r w:rsidRPr="00820149">
        <w:rPr>
          <w:szCs w:val="24"/>
        </w:rPr>
        <w:t>,</w:t>
      </w:r>
      <w:r w:rsidR="0070563A">
        <w:rPr>
          <w:szCs w:val="24"/>
        </w:rPr>
        <w:t>8</w:t>
      </w:r>
      <w:r w:rsidR="001E08C7">
        <w:rPr>
          <w:szCs w:val="24"/>
        </w:rPr>
        <w:t xml:space="preserve"> тыс. рублей (85</w:t>
      </w:r>
      <w:r w:rsidRPr="00820149">
        <w:rPr>
          <w:szCs w:val="24"/>
        </w:rPr>
        <w:t>.</w:t>
      </w:r>
      <w:r w:rsidR="001E08C7">
        <w:rPr>
          <w:szCs w:val="24"/>
        </w:rPr>
        <w:t>0</w:t>
      </w:r>
      <w:r w:rsidRPr="00820149">
        <w:rPr>
          <w:szCs w:val="24"/>
        </w:rPr>
        <w:t xml:space="preserve"> процента);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- </w:t>
      </w:r>
      <w:r w:rsidR="0070563A">
        <w:rPr>
          <w:szCs w:val="24"/>
        </w:rPr>
        <w:t>891</w:t>
      </w:r>
      <w:r w:rsidRPr="00820149">
        <w:rPr>
          <w:szCs w:val="24"/>
        </w:rPr>
        <w:t>,</w:t>
      </w:r>
      <w:r w:rsidR="0070563A">
        <w:rPr>
          <w:szCs w:val="24"/>
        </w:rPr>
        <w:t>7</w:t>
      </w:r>
      <w:r w:rsidRPr="00820149">
        <w:rPr>
          <w:szCs w:val="24"/>
        </w:rPr>
        <w:t xml:space="preserve"> тыс. рублей, (</w:t>
      </w:r>
      <w:r w:rsidR="001E08C7">
        <w:rPr>
          <w:szCs w:val="24"/>
        </w:rPr>
        <w:t>15</w:t>
      </w:r>
      <w:r w:rsidRPr="00820149">
        <w:rPr>
          <w:szCs w:val="24"/>
        </w:rPr>
        <w:t>,</w:t>
      </w:r>
      <w:r w:rsidR="001E08C7">
        <w:rPr>
          <w:szCs w:val="24"/>
        </w:rPr>
        <w:t>0</w:t>
      </w:r>
      <w:r w:rsidRPr="00820149">
        <w:rPr>
          <w:szCs w:val="24"/>
        </w:rPr>
        <w:t xml:space="preserve"> процента);</w:t>
      </w:r>
    </w:p>
    <w:p w:rsidR="006C497A" w:rsidRPr="00934C5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>внебюджетных источников-0 тыс. руб. (0%).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1E08C7" w:rsidP="001E08C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="00945F8C" w:rsidRPr="0097617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1E08C7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Pr="0097617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взаимодействия органов местного самоуправления Шумерлинского района и институто</w:t>
            </w:r>
            <w:r w:rsidRPr="00934C59">
              <w:rPr>
                <w:szCs w:val="24"/>
              </w:rPr>
              <w:lastRenderedPageBreak/>
              <w:t>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</w:t>
            </w:r>
            <w:r w:rsidRPr="00934C59">
              <w:rPr>
                <w:szCs w:val="24"/>
              </w:rPr>
              <w:lastRenderedPageBreak/>
              <w:t xml:space="preserve">органов исполнительной власти, 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</w:t>
            </w:r>
            <w:r w:rsidRPr="00934C59">
              <w:rPr>
                <w:szCs w:val="24"/>
              </w:rPr>
              <w:lastRenderedPageBreak/>
              <w:t>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Профилак</w:t>
            </w:r>
            <w:r w:rsidRPr="00934C59">
              <w:rPr>
                <w:szCs w:val="24"/>
              </w:rPr>
              <w:lastRenderedPageBreak/>
              <w:t>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</w:t>
            </w:r>
            <w:r w:rsidRPr="00934C59">
              <w:rPr>
                <w:szCs w:val="24"/>
              </w:rPr>
              <w:lastRenderedPageBreak/>
              <w:t>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</w:t>
            </w:r>
            <w:r w:rsidRPr="00934C59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основным </w:t>
            </w:r>
            <w:r w:rsidRPr="00934C59">
              <w:rPr>
                <w:szCs w:val="24"/>
              </w:rPr>
              <w:lastRenderedPageBreak/>
              <w:t>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1E08C7" w:rsidP="00F637A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Pr="0097617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  <w:r>
              <w:rPr>
                <w:szCs w:val="24"/>
              </w:rPr>
              <w:t>74</w:t>
            </w:r>
          </w:p>
        </w:tc>
        <w:tc>
          <w:tcPr>
            <w:tcW w:w="567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2620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8523B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</w:t>
            </w:r>
            <w:r>
              <w:rPr>
                <w:szCs w:val="24"/>
              </w:rPr>
              <w:t>52620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311228">
            <w:pPr>
              <w:ind w:firstLine="0"/>
            </w:pPr>
            <w:r w:rsidRPr="00B12718">
              <w:rPr>
                <w:szCs w:val="24"/>
              </w:rPr>
              <w:t xml:space="preserve">Бюджет </w:t>
            </w:r>
            <w:r w:rsidR="00311228">
              <w:rPr>
                <w:szCs w:val="24"/>
              </w:rPr>
              <w:t xml:space="preserve">Чувашской Республики </w:t>
            </w:r>
            <w:r w:rsidRPr="00B12718">
              <w:rPr>
                <w:szCs w:val="24"/>
              </w:rPr>
              <w:t>района</w:t>
            </w:r>
          </w:p>
        </w:tc>
        <w:tc>
          <w:tcPr>
            <w:tcW w:w="850" w:type="dxa"/>
          </w:tcPr>
          <w:p w:rsidR="00945F8C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5134</w:t>
            </w:r>
            <w:r w:rsidR="00945F8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0340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C850F5">
            <w:pPr>
              <w:ind w:firstLine="0"/>
            </w:pPr>
            <w:r w:rsidRPr="00B12718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EB7620" w:rsidRPr="00934C59" w:rsidTr="00945F8C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Целевой индикатор и показатель подпрограммы, увязанные с </w:t>
            </w:r>
            <w:r w:rsidRPr="00934C59">
              <w:rPr>
                <w:szCs w:val="24"/>
              </w:rPr>
              <w:lastRenderedPageBreak/>
              <w:t>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lastRenderedPageBreak/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ind w:firstLine="697"/>
        <w:jc w:val="center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311228">
              <w:rPr>
                <w:szCs w:val="24"/>
              </w:rPr>
              <w:t>21547</w:t>
            </w:r>
            <w:r w:rsidR="00311228" w:rsidRPr="00934C59">
              <w:rPr>
                <w:szCs w:val="24"/>
              </w:rPr>
              <w:t>,</w:t>
            </w:r>
            <w:r w:rsidR="00311228">
              <w:rPr>
                <w:szCs w:val="24"/>
              </w:rPr>
              <w:t>2</w:t>
            </w:r>
            <w:r w:rsidR="0031122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311228">
              <w:rPr>
                <w:szCs w:val="24"/>
              </w:rPr>
              <w:t>21547</w:t>
            </w:r>
            <w:r w:rsidR="00311228" w:rsidRPr="00934C59">
              <w:rPr>
                <w:szCs w:val="24"/>
              </w:rPr>
              <w:t>,</w:t>
            </w:r>
            <w:r w:rsidR="00311228">
              <w:rPr>
                <w:szCs w:val="24"/>
              </w:rPr>
              <w:t>2</w:t>
            </w:r>
            <w:r w:rsidR="0031122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1289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1A4D28">
        <w:rPr>
          <w:szCs w:val="24"/>
        </w:rPr>
        <w:t>21547</w:t>
      </w:r>
      <w:r w:rsidR="001A4D28" w:rsidRPr="00934C59">
        <w:rPr>
          <w:szCs w:val="24"/>
        </w:rPr>
        <w:t>,</w:t>
      </w:r>
      <w:r w:rsidR="001A4D28">
        <w:rPr>
          <w:szCs w:val="24"/>
        </w:rPr>
        <w:t>2</w:t>
      </w:r>
      <w:r w:rsidR="001A4D28" w:rsidRPr="00934C59">
        <w:rPr>
          <w:szCs w:val="24"/>
        </w:rPr>
        <w:t xml:space="preserve"> </w:t>
      </w:r>
      <w:r w:rsidRPr="00934C59">
        <w:rPr>
          <w:szCs w:val="24"/>
        </w:rPr>
        <w:t xml:space="preserve"> 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1A4D28">
        <w:rPr>
          <w:szCs w:val="24"/>
        </w:rPr>
        <w:t>21547</w:t>
      </w:r>
      <w:r w:rsidR="00DF027F" w:rsidRPr="00934C59">
        <w:rPr>
          <w:szCs w:val="24"/>
        </w:rPr>
        <w:t>,</w:t>
      </w:r>
      <w:r w:rsidR="001A4D28">
        <w:rPr>
          <w:szCs w:val="24"/>
        </w:rPr>
        <w:t>2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Прогнозируемый объем финансирования подпрограммы на 1 этапе (2019-2025 годы) составит </w:t>
      </w:r>
      <w:r w:rsidR="001A4D28">
        <w:rPr>
          <w:szCs w:val="24"/>
        </w:rPr>
        <w:t>6964,4</w:t>
      </w:r>
      <w:r w:rsidRPr="00934C59">
        <w:rPr>
          <w:szCs w:val="24"/>
        </w:rPr>
        <w:t xml:space="preserve"> 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1289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>
        <w:rPr>
          <w:szCs w:val="24"/>
        </w:rPr>
        <w:t>589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>
        <w:rPr>
          <w:szCs w:val="24"/>
        </w:rPr>
        <w:t>589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1A4D28">
        <w:rPr>
          <w:szCs w:val="24"/>
        </w:rPr>
        <w:t>6964,4</w:t>
      </w:r>
      <w:r w:rsidR="001A4D28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</w:t>
      </w:r>
      <w:r w:rsidR="000252A4">
        <w:rPr>
          <w:szCs w:val="24"/>
        </w:rPr>
        <w:t>289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0252A4">
        <w:rPr>
          <w:szCs w:val="24"/>
        </w:rPr>
        <w:t>589</w:t>
      </w:r>
      <w:r w:rsidRPr="00934C59">
        <w:rPr>
          <w:szCs w:val="24"/>
        </w:rPr>
        <w:t>,</w:t>
      </w:r>
      <w:r w:rsidR="000252A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0252A4">
        <w:rPr>
          <w:szCs w:val="24"/>
        </w:rPr>
        <w:t>589</w:t>
      </w:r>
      <w:r w:rsidRPr="00934C59">
        <w:rPr>
          <w:szCs w:val="24"/>
        </w:rPr>
        <w:t>,</w:t>
      </w:r>
      <w:r w:rsidR="000252A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0252A4" w:rsidP="00DF027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="00DF027F" w:rsidRPr="00934C59">
        <w:rPr>
          <w:szCs w:val="24"/>
        </w:rPr>
        <w:t>,</w:t>
      </w:r>
      <w:r>
        <w:rPr>
          <w:szCs w:val="24"/>
        </w:rPr>
        <w:t>8</w:t>
      </w:r>
      <w:r w:rsidR="00DF027F" w:rsidRPr="00934C59">
        <w:rPr>
          <w:szCs w:val="24"/>
        </w:rPr>
        <w:t xml:space="preserve"> тыс. рублей;</w:t>
      </w:r>
    </w:p>
    <w:p w:rsidR="006C497A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0252A4">
        <w:rPr>
          <w:szCs w:val="24"/>
        </w:rPr>
        <w:t>1123</w:t>
      </w:r>
      <w:r w:rsidR="000252A4" w:rsidRPr="00934C59">
        <w:rPr>
          <w:szCs w:val="24"/>
        </w:rPr>
        <w:t>,</w:t>
      </w:r>
      <w:r w:rsidR="000252A4">
        <w:rPr>
          <w:szCs w:val="24"/>
        </w:rPr>
        <w:t>9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  <w:r w:rsidR="006C497A"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 w:rsidR="000252A4" w:rsidRPr="00934C59">
        <w:rPr>
          <w:szCs w:val="24"/>
        </w:rPr>
        <w:t>7</w:t>
      </w:r>
      <w:r w:rsidR="000252A4">
        <w:rPr>
          <w:szCs w:val="24"/>
        </w:rPr>
        <w:t>3</w:t>
      </w:r>
      <w:r w:rsidR="000252A4" w:rsidRPr="00934C59">
        <w:rPr>
          <w:szCs w:val="24"/>
        </w:rPr>
        <w:t>65,4</w:t>
      </w:r>
      <w:r w:rsidR="000252A4">
        <w:rPr>
          <w:szCs w:val="24"/>
        </w:rPr>
        <w:t xml:space="preserve"> </w:t>
      </w:r>
      <w:r w:rsidRPr="00934C59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3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1"/>
        <w:gridCol w:w="709"/>
        <w:gridCol w:w="850"/>
        <w:gridCol w:w="850"/>
        <w:gridCol w:w="851"/>
      </w:tblGrid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976F0D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6F0D">
              <w:rPr>
                <w:szCs w:val="24"/>
              </w:rPr>
              <w:t>289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976F0D" w:rsidRPr="00934C59" w:rsidTr="005A7570">
        <w:trPr>
          <w:tblCellSpacing w:w="5" w:type="nil"/>
        </w:trPr>
        <w:tc>
          <w:tcPr>
            <w:tcW w:w="123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76F0D" w:rsidRPr="00934C59" w:rsidRDefault="00976F0D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 w:rsidRPr="00934C59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851" w:type="dxa"/>
            <w:vAlign w:val="center"/>
          </w:tcPr>
          <w:p w:rsidR="00976F0D" w:rsidRPr="00934C59" w:rsidRDefault="00976F0D" w:rsidP="009627EC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A53B9E" w:rsidRPr="00934C59" w:rsidTr="005A7570">
        <w:trPr>
          <w:tblCellSpacing w:w="5" w:type="nil"/>
        </w:trPr>
        <w:tc>
          <w:tcPr>
            <w:tcW w:w="1233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Default="009D564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образования</w:t>
            </w: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ЕДДС и дежурно-диспетчерских служб экстренных оперативных </w:t>
            </w:r>
            <w:r w:rsidRPr="00934C59">
              <w:rPr>
                <w:szCs w:val="24"/>
              </w:rPr>
              <w:lastRenderedPageBreak/>
              <w:t>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</w:t>
            </w:r>
            <w:r w:rsidRPr="00934C59">
              <w:rPr>
                <w:szCs w:val="24"/>
              </w:rPr>
              <w:lastRenderedPageBreak/>
              <w:t>раскрытия преступлений, а также повышения безопасности дорожного движения;</w:t>
            </w:r>
          </w:p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776A7A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образования, </w:t>
            </w:r>
            <w:r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</w:t>
            </w:r>
            <w:r w:rsidRPr="00934C59">
              <w:rPr>
                <w:szCs w:val="24"/>
              </w:rPr>
              <w:lastRenderedPageBreak/>
              <w:t>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Модернизация, установка и обслуживание в образовательных организаци</w:t>
            </w:r>
            <w:r w:rsidRPr="00934C59">
              <w:rPr>
                <w:szCs w:val="24"/>
              </w:rPr>
              <w:lastRenderedPageBreak/>
              <w:t xml:space="preserve">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486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</w:t>
            </w:r>
            <w:r w:rsidRPr="00934C59">
              <w:rPr>
                <w:szCs w:val="24"/>
              </w:rPr>
              <w:lastRenderedPageBreak/>
              <w:t>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</w:t>
            </w:r>
            <w:r w:rsidRPr="00831767">
              <w:rPr>
                <w:szCs w:val="24"/>
              </w:rPr>
              <w:lastRenderedPageBreak/>
              <w:t>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753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Отдел образования 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t xml:space="preserve">Монтаж средств видеонаблюдения, ориентированных на внутреннее помещение общего пользования и дворовые </w:t>
            </w:r>
            <w:r w:rsidRPr="00934C59">
              <w:rPr>
                <w:szCs w:val="24"/>
              </w:rPr>
              <w:lastRenderedPageBreak/>
              <w:t>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</w:t>
            </w:r>
            <w:r w:rsidRPr="00934C59">
              <w:rPr>
                <w:szCs w:val="24"/>
              </w:rPr>
              <w:lastRenderedPageBreak/>
              <w:t>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Pr="00934C59">
              <w:rPr>
                <w:szCs w:val="24"/>
              </w:rPr>
              <w:lastRenderedPageBreak/>
              <w:t>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</w:t>
            </w:r>
            <w:r w:rsidRPr="00934C59">
              <w:rPr>
                <w:szCs w:val="24"/>
              </w:rPr>
              <w:lastRenderedPageBreak/>
              <w:t>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Обеспечение управления оперативной </w:t>
            </w:r>
            <w:r w:rsidRPr="00934C59">
              <w:rPr>
                <w:szCs w:val="24"/>
              </w:rPr>
              <w:lastRenderedPageBreak/>
              <w:t>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дооснащение единых дежурно-диспетчерских служб </w:t>
            </w:r>
            <w:r w:rsidRPr="00934C59">
              <w:rPr>
                <w:szCs w:val="24"/>
              </w:rPr>
              <w:lastRenderedPageBreak/>
              <w:t>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EB7620" w:rsidRPr="00934C59" w:rsidRDefault="00EB7620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</w:t>
            </w:r>
            <w:r>
              <w:rPr>
                <w:szCs w:val="24"/>
              </w:rPr>
              <w:lastRenderedPageBreak/>
              <w:t>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A53B9E" w:rsidRPr="00934C59" w:rsidTr="005A7570">
        <w:trPr>
          <w:trHeight w:val="365"/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3B9E" w:rsidRDefault="00A53B9E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76F0D" w:rsidRPr="00934C59" w:rsidTr="005A7570">
        <w:trPr>
          <w:trHeight w:val="234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6F0D" w:rsidRDefault="00976F0D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DE" w:rsidRDefault="00C317DE">
      <w:r>
        <w:separator/>
      </w:r>
    </w:p>
  </w:endnote>
  <w:endnote w:type="continuationSeparator" w:id="0">
    <w:p w:rsidR="00C317DE" w:rsidRDefault="00C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DE" w:rsidRDefault="00C317DE">
      <w:r>
        <w:separator/>
      </w:r>
    </w:p>
  </w:footnote>
  <w:footnote w:type="continuationSeparator" w:id="0">
    <w:p w:rsidR="00C317DE" w:rsidRDefault="00C3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17DE" w:rsidRDefault="00C317DE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323A9">
      <w:rPr>
        <w:noProof/>
      </w:rPr>
      <w:t>68</w:t>
    </w:r>
    <w:r>
      <w:fldChar w:fldCharType="end"/>
    </w:r>
  </w:p>
  <w:p w:rsidR="00C317DE" w:rsidRDefault="00C317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323A9">
      <w:rPr>
        <w:rStyle w:val="af"/>
        <w:noProof/>
      </w:rPr>
      <w:t>3</w:t>
    </w:r>
    <w:r>
      <w:rPr>
        <w:rStyle w:val="af"/>
      </w:rPr>
      <w:fldChar w:fldCharType="end"/>
    </w:r>
  </w:p>
  <w:p w:rsidR="00C317DE" w:rsidRDefault="00C317DE">
    <w:pPr>
      <w:pStyle w:val="a8"/>
      <w:jc w:val="center"/>
    </w:pPr>
  </w:p>
  <w:p w:rsidR="00C317DE" w:rsidRDefault="00C317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8"/>
      <w:jc w:val="center"/>
    </w:pPr>
  </w:p>
  <w:p w:rsidR="00C317DE" w:rsidRDefault="00C317DE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323A9">
      <w:rPr>
        <w:rStyle w:val="af"/>
        <w:noProof/>
      </w:rPr>
      <w:t>24</w:t>
    </w:r>
    <w:r>
      <w:rPr>
        <w:rStyle w:val="af"/>
      </w:rPr>
      <w:fldChar w:fldCharType="end"/>
    </w:r>
  </w:p>
  <w:p w:rsidR="00C317DE" w:rsidRDefault="00C317DE">
    <w:pPr>
      <w:pStyle w:val="a8"/>
      <w:jc w:val="center"/>
    </w:pPr>
  </w:p>
  <w:p w:rsidR="00C317DE" w:rsidRDefault="00C317D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pStyle w:val="a8"/>
      <w:tabs>
        <w:tab w:val="left" w:pos="6551"/>
        <w:tab w:val="center" w:pos="6979"/>
      </w:tabs>
      <w:jc w:val="center"/>
    </w:pPr>
  </w:p>
  <w:p w:rsidR="00C317DE" w:rsidRDefault="00C317DE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323A9">
      <w:rPr>
        <w:noProof/>
      </w:rPr>
      <w:t>33</w:t>
    </w:r>
    <w:r>
      <w:fldChar w:fldCharType="end"/>
    </w:r>
  </w:p>
  <w:p w:rsidR="00C317DE" w:rsidRDefault="00C317D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E" w:rsidRDefault="00C317DE" w:rsidP="001235A9">
    <w:pPr>
      <w:pStyle w:val="a8"/>
      <w:tabs>
        <w:tab w:val="left" w:pos="6551"/>
        <w:tab w:val="center" w:pos="6979"/>
      </w:tabs>
      <w:jc w:val="center"/>
    </w:pPr>
  </w:p>
  <w:p w:rsidR="00C317DE" w:rsidRDefault="00C317DE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323A9">
      <w:rPr>
        <w:noProof/>
      </w:rPr>
      <w:t>51</w:t>
    </w:r>
    <w:r>
      <w:fldChar w:fldCharType="end"/>
    </w:r>
  </w:p>
  <w:p w:rsidR="00C317DE" w:rsidRDefault="00C317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E8"/>
    <w:rsid w:val="00015EF1"/>
    <w:rsid w:val="00016FAD"/>
    <w:rsid w:val="000252A4"/>
    <w:rsid w:val="00025C58"/>
    <w:rsid w:val="00027883"/>
    <w:rsid w:val="000475EC"/>
    <w:rsid w:val="00047FBC"/>
    <w:rsid w:val="00050F55"/>
    <w:rsid w:val="000770E4"/>
    <w:rsid w:val="00086141"/>
    <w:rsid w:val="00090C48"/>
    <w:rsid w:val="000B4438"/>
    <w:rsid w:val="000E6253"/>
    <w:rsid w:val="000F4EF0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56EF1"/>
    <w:rsid w:val="00163BAB"/>
    <w:rsid w:val="00177D47"/>
    <w:rsid w:val="001827A9"/>
    <w:rsid w:val="00195522"/>
    <w:rsid w:val="0019750B"/>
    <w:rsid w:val="001A4D28"/>
    <w:rsid w:val="001A6FA9"/>
    <w:rsid w:val="001E08C7"/>
    <w:rsid w:val="001E3866"/>
    <w:rsid w:val="001E62B3"/>
    <w:rsid w:val="00203BDC"/>
    <w:rsid w:val="00261187"/>
    <w:rsid w:val="0026547D"/>
    <w:rsid w:val="002A68FE"/>
    <w:rsid w:val="002B2AB5"/>
    <w:rsid w:val="002B4EA5"/>
    <w:rsid w:val="002B66F9"/>
    <w:rsid w:val="002C2CF8"/>
    <w:rsid w:val="002C50D0"/>
    <w:rsid w:val="002E0BFA"/>
    <w:rsid w:val="00307194"/>
    <w:rsid w:val="00311228"/>
    <w:rsid w:val="003116A0"/>
    <w:rsid w:val="003127D6"/>
    <w:rsid w:val="003166F0"/>
    <w:rsid w:val="00320E14"/>
    <w:rsid w:val="00325289"/>
    <w:rsid w:val="003301AD"/>
    <w:rsid w:val="003323A9"/>
    <w:rsid w:val="00335AD1"/>
    <w:rsid w:val="00341296"/>
    <w:rsid w:val="003542AC"/>
    <w:rsid w:val="003678D3"/>
    <w:rsid w:val="00371183"/>
    <w:rsid w:val="00385375"/>
    <w:rsid w:val="00392103"/>
    <w:rsid w:val="00397B30"/>
    <w:rsid w:val="003A6F1A"/>
    <w:rsid w:val="003B0A1E"/>
    <w:rsid w:val="003C449A"/>
    <w:rsid w:val="003C4B4F"/>
    <w:rsid w:val="003D2C9E"/>
    <w:rsid w:val="003D2F91"/>
    <w:rsid w:val="003E2D0E"/>
    <w:rsid w:val="003E3B4A"/>
    <w:rsid w:val="003F064E"/>
    <w:rsid w:val="003F1B9E"/>
    <w:rsid w:val="00412F73"/>
    <w:rsid w:val="00415698"/>
    <w:rsid w:val="0042031A"/>
    <w:rsid w:val="004206FA"/>
    <w:rsid w:val="004227B7"/>
    <w:rsid w:val="00427166"/>
    <w:rsid w:val="00443350"/>
    <w:rsid w:val="004520BF"/>
    <w:rsid w:val="0045256D"/>
    <w:rsid w:val="00452AE1"/>
    <w:rsid w:val="0045652C"/>
    <w:rsid w:val="00461D5E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E047F"/>
    <w:rsid w:val="004E6EA1"/>
    <w:rsid w:val="004F0CB4"/>
    <w:rsid w:val="00513741"/>
    <w:rsid w:val="005150E6"/>
    <w:rsid w:val="00531AA5"/>
    <w:rsid w:val="00541E79"/>
    <w:rsid w:val="00542C70"/>
    <w:rsid w:val="00547E22"/>
    <w:rsid w:val="00557D07"/>
    <w:rsid w:val="00566872"/>
    <w:rsid w:val="00581B87"/>
    <w:rsid w:val="00587EF1"/>
    <w:rsid w:val="00590885"/>
    <w:rsid w:val="00594F6F"/>
    <w:rsid w:val="005A42AA"/>
    <w:rsid w:val="005A7570"/>
    <w:rsid w:val="005C0DDC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53503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70563A"/>
    <w:rsid w:val="007072E8"/>
    <w:rsid w:val="00711384"/>
    <w:rsid w:val="00725E0D"/>
    <w:rsid w:val="00733D8F"/>
    <w:rsid w:val="00754DC3"/>
    <w:rsid w:val="007555B0"/>
    <w:rsid w:val="0076206A"/>
    <w:rsid w:val="00764D4B"/>
    <w:rsid w:val="00776A7A"/>
    <w:rsid w:val="00782D5D"/>
    <w:rsid w:val="00793F6C"/>
    <w:rsid w:val="0079546B"/>
    <w:rsid w:val="007A46F6"/>
    <w:rsid w:val="007A69D2"/>
    <w:rsid w:val="007B0223"/>
    <w:rsid w:val="007C32C5"/>
    <w:rsid w:val="007C4F51"/>
    <w:rsid w:val="007D302F"/>
    <w:rsid w:val="007D3689"/>
    <w:rsid w:val="007D60E8"/>
    <w:rsid w:val="007E5414"/>
    <w:rsid w:val="007E5D80"/>
    <w:rsid w:val="007F2EE6"/>
    <w:rsid w:val="00805B12"/>
    <w:rsid w:val="00820149"/>
    <w:rsid w:val="00836530"/>
    <w:rsid w:val="008523B4"/>
    <w:rsid w:val="00855220"/>
    <w:rsid w:val="00871C0B"/>
    <w:rsid w:val="0088445E"/>
    <w:rsid w:val="008A225B"/>
    <w:rsid w:val="008A2A43"/>
    <w:rsid w:val="008A7EE1"/>
    <w:rsid w:val="008B290F"/>
    <w:rsid w:val="008D1D63"/>
    <w:rsid w:val="008E78FF"/>
    <w:rsid w:val="008F4EA0"/>
    <w:rsid w:val="00900709"/>
    <w:rsid w:val="0090328A"/>
    <w:rsid w:val="009077A4"/>
    <w:rsid w:val="00934C59"/>
    <w:rsid w:val="00944B26"/>
    <w:rsid w:val="00945F8C"/>
    <w:rsid w:val="00950025"/>
    <w:rsid w:val="009557BE"/>
    <w:rsid w:val="009627EC"/>
    <w:rsid w:val="0097617B"/>
    <w:rsid w:val="00976F0D"/>
    <w:rsid w:val="0099586B"/>
    <w:rsid w:val="0099670D"/>
    <w:rsid w:val="009A669B"/>
    <w:rsid w:val="009B0EB9"/>
    <w:rsid w:val="009C3DF7"/>
    <w:rsid w:val="009D4F3E"/>
    <w:rsid w:val="009D5643"/>
    <w:rsid w:val="009E2EEC"/>
    <w:rsid w:val="009E6088"/>
    <w:rsid w:val="009F6484"/>
    <w:rsid w:val="00A064D4"/>
    <w:rsid w:val="00A10107"/>
    <w:rsid w:val="00A11306"/>
    <w:rsid w:val="00A263EB"/>
    <w:rsid w:val="00A3315F"/>
    <w:rsid w:val="00A37F2C"/>
    <w:rsid w:val="00A52DD8"/>
    <w:rsid w:val="00A53B9E"/>
    <w:rsid w:val="00A75698"/>
    <w:rsid w:val="00A8356F"/>
    <w:rsid w:val="00A85222"/>
    <w:rsid w:val="00A92A3E"/>
    <w:rsid w:val="00AA0D01"/>
    <w:rsid w:val="00AA444E"/>
    <w:rsid w:val="00AA6AE6"/>
    <w:rsid w:val="00AE15DE"/>
    <w:rsid w:val="00AE33B2"/>
    <w:rsid w:val="00B00B18"/>
    <w:rsid w:val="00B02164"/>
    <w:rsid w:val="00B33B73"/>
    <w:rsid w:val="00B465B0"/>
    <w:rsid w:val="00B47516"/>
    <w:rsid w:val="00B53199"/>
    <w:rsid w:val="00B556ED"/>
    <w:rsid w:val="00B66206"/>
    <w:rsid w:val="00B72EEA"/>
    <w:rsid w:val="00B746FE"/>
    <w:rsid w:val="00B84CD5"/>
    <w:rsid w:val="00B90312"/>
    <w:rsid w:val="00BA0607"/>
    <w:rsid w:val="00BA4E5E"/>
    <w:rsid w:val="00BB07AB"/>
    <w:rsid w:val="00BE5564"/>
    <w:rsid w:val="00C046A1"/>
    <w:rsid w:val="00C063F5"/>
    <w:rsid w:val="00C10271"/>
    <w:rsid w:val="00C26319"/>
    <w:rsid w:val="00C26A0D"/>
    <w:rsid w:val="00C30964"/>
    <w:rsid w:val="00C317DE"/>
    <w:rsid w:val="00C31CD3"/>
    <w:rsid w:val="00C36851"/>
    <w:rsid w:val="00C57871"/>
    <w:rsid w:val="00C67BBB"/>
    <w:rsid w:val="00C850F5"/>
    <w:rsid w:val="00C9131B"/>
    <w:rsid w:val="00CA125B"/>
    <w:rsid w:val="00CA78B6"/>
    <w:rsid w:val="00CB1866"/>
    <w:rsid w:val="00CB4018"/>
    <w:rsid w:val="00CD1633"/>
    <w:rsid w:val="00CD6A08"/>
    <w:rsid w:val="00CD6CB5"/>
    <w:rsid w:val="00D01BDD"/>
    <w:rsid w:val="00D04B03"/>
    <w:rsid w:val="00D07AFB"/>
    <w:rsid w:val="00D212BE"/>
    <w:rsid w:val="00D21723"/>
    <w:rsid w:val="00D50F71"/>
    <w:rsid w:val="00D5315C"/>
    <w:rsid w:val="00D54B0E"/>
    <w:rsid w:val="00D67170"/>
    <w:rsid w:val="00D732D2"/>
    <w:rsid w:val="00D817BD"/>
    <w:rsid w:val="00D90FAD"/>
    <w:rsid w:val="00DB1F36"/>
    <w:rsid w:val="00DB75F9"/>
    <w:rsid w:val="00DE1CC5"/>
    <w:rsid w:val="00DE22A3"/>
    <w:rsid w:val="00DE23E6"/>
    <w:rsid w:val="00DE29E9"/>
    <w:rsid w:val="00DF027F"/>
    <w:rsid w:val="00DF057F"/>
    <w:rsid w:val="00E156E7"/>
    <w:rsid w:val="00E2102B"/>
    <w:rsid w:val="00E2382C"/>
    <w:rsid w:val="00E33053"/>
    <w:rsid w:val="00E37C7A"/>
    <w:rsid w:val="00E51C9F"/>
    <w:rsid w:val="00E55D64"/>
    <w:rsid w:val="00E74296"/>
    <w:rsid w:val="00E806FD"/>
    <w:rsid w:val="00E86776"/>
    <w:rsid w:val="00E90328"/>
    <w:rsid w:val="00EB7620"/>
    <w:rsid w:val="00EC5A01"/>
    <w:rsid w:val="00ED403E"/>
    <w:rsid w:val="00EE17D3"/>
    <w:rsid w:val="00EE427F"/>
    <w:rsid w:val="00EF7DBF"/>
    <w:rsid w:val="00F01444"/>
    <w:rsid w:val="00F01FD5"/>
    <w:rsid w:val="00F10DCC"/>
    <w:rsid w:val="00F12A8C"/>
    <w:rsid w:val="00F20985"/>
    <w:rsid w:val="00F32B5B"/>
    <w:rsid w:val="00F54658"/>
    <w:rsid w:val="00F637AF"/>
    <w:rsid w:val="00F646F1"/>
    <w:rsid w:val="00F654AA"/>
    <w:rsid w:val="00F72919"/>
    <w:rsid w:val="00F7358E"/>
    <w:rsid w:val="00F75EF8"/>
    <w:rsid w:val="00F87558"/>
    <w:rsid w:val="00F91491"/>
    <w:rsid w:val="00F9770A"/>
    <w:rsid w:val="00FC4658"/>
    <w:rsid w:val="00FC507B"/>
    <w:rsid w:val="00FD499A"/>
    <w:rsid w:val="00FD7B1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512C-1F45-4B73-AF6C-41E46D15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18495</Words>
  <Characters>105423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3</cp:revision>
  <cp:lastPrinted>2019-07-12T05:41:00Z</cp:lastPrinted>
  <dcterms:created xsi:type="dcterms:W3CDTF">2019-07-17T12:10:00Z</dcterms:created>
  <dcterms:modified xsi:type="dcterms:W3CDTF">2019-07-17T12:11:00Z</dcterms:modified>
</cp:coreProperties>
</file>