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EC" w:rsidRDefault="00D82FEC" w:rsidP="00D82F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82FEC" w:rsidRDefault="00D82FEC" w:rsidP="00D82F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Вурнарского района на  отчет об исполнении бюджета </w:t>
      </w:r>
      <w:proofErr w:type="spellStart"/>
      <w:r w:rsidR="000B0B12">
        <w:rPr>
          <w:rFonts w:ascii="Times New Roman" w:hAnsi="Times New Roman" w:cs="Times New Roman"/>
          <w:b/>
          <w:sz w:val="24"/>
          <w:szCs w:val="24"/>
        </w:rPr>
        <w:t>Санарпосинского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Вурнарского района Чувашской Республики за </w:t>
      </w:r>
      <w:r w:rsidR="00146C8D">
        <w:rPr>
          <w:rFonts w:ascii="Times New Roman" w:hAnsi="Times New Roman" w:cs="Times New Roman"/>
          <w:b/>
          <w:sz w:val="24"/>
          <w:szCs w:val="24"/>
        </w:rPr>
        <w:t>201</w:t>
      </w:r>
      <w:r w:rsidR="00F05FA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82FEC" w:rsidRDefault="00D82FEC" w:rsidP="00D82F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FEC" w:rsidRDefault="00D82FEC" w:rsidP="00D82F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2FEC" w:rsidRDefault="00D90055" w:rsidP="00D82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FEC" w:rsidRDefault="00D82FEC" w:rsidP="00D82FEC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урнары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D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5FA5">
        <w:rPr>
          <w:rFonts w:ascii="Times New Roman" w:hAnsi="Times New Roman" w:cs="Times New Roman"/>
          <w:sz w:val="24"/>
          <w:szCs w:val="24"/>
        </w:rPr>
        <w:t>16 ап</w:t>
      </w:r>
      <w:r w:rsidR="00D71544">
        <w:rPr>
          <w:rFonts w:ascii="Times New Roman" w:hAnsi="Times New Roman" w:cs="Times New Roman"/>
          <w:sz w:val="24"/>
          <w:szCs w:val="24"/>
        </w:rPr>
        <w:t>р</w:t>
      </w:r>
      <w:r w:rsidR="00F05FA5">
        <w:rPr>
          <w:rFonts w:ascii="Times New Roman" w:hAnsi="Times New Roman" w:cs="Times New Roman"/>
          <w:sz w:val="24"/>
          <w:szCs w:val="24"/>
        </w:rPr>
        <w:t>еля</w:t>
      </w:r>
      <w:r w:rsidR="00AE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F05FA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AE4715">
        <w:rPr>
          <w:rFonts w:ascii="Times New Roman" w:hAnsi="Times New Roman" w:cs="Times New Roman"/>
          <w:sz w:val="24"/>
          <w:szCs w:val="24"/>
        </w:rPr>
        <w:t>а</w:t>
      </w:r>
    </w:p>
    <w:p w:rsidR="00D82FEC" w:rsidRDefault="00D82FEC" w:rsidP="00D82FE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82FEC" w:rsidRDefault="00D82FEC" w:rsidP="00D82FE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82FEC" w:rsidRDefault="00D82FEC" w:rsidP="00D82FEC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Контрольно-счетный орган Вурнарского района в соответствии с Бюджетным кодексом  Российской Федерации, Соглашением  о передаче Контрольно-счетному органу Вурнарского района полномочий Контрольно-счетного органа </w:t>
      </w:r>
      <w:proofErr w:type="spellStart"/>
      <w:r w:rsidR="000B0B12">
        <w:rPr>
          <w:rFonts w:ascii="Times New Roman" w:hAnsi="Times New Roman" w:cs="Times New Roman"/>
          <w:sz w:val="24"/>
          <w:szCs w:val="24"/>
        </w:rPr>
        <w:t>Санарпосинского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по осуществлению внешнего муниципального финансового контроля, планом работы Контрольно-счетного органа на 201</w:t>
      </w:r>
      <w:r w:rsidR="00F05FA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осуществил внешнюю проверку проекта  годового отчета об исполнении бюджета </w:t>
      </w:r>
      <w:proofErr w:type="spellStart"/>
      <w:r w:rsidR="000B0B12">
        <w:rPr>
          <w:rFonts w:ascii="Times New Roman" w:hAnsi="Times New Roman" w:cs="Times New Roman"/>
          <w:sz w:val="24"/>
          <w:szCs w:val="24"/>
        </w:rPr>
        <w:t>Санарпосинского</w:t>
      </w:r>
      <w:proofErr w:type="spellEnd"/>
      <w:r w:rsidR="000B0B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за </w:t>
      </w:r>
      <w:r w:rsidR="00146C8D">
        <w:rPr>
          <w:rFonts w:ascii="Times New Roman" w:hAnsi="Times New Roman" w:cs="Times New Roman"/>
          <w:sz w:val="24"/>
          <w:szCs w:val="24"/>
        </w:rPr>
        <w:t>201</w:t>
      </w:r>
      <w:r w:rsidR="00F05FA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D82FEC" w:rsidRDefault="00D82FEC" w:rsidP="00D82FE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Заключение подготовлено относительно бюджетных назначений, утвержденных решением Собрания депутатов </w:t>
      </w:r>
      <w:proofErr w:type="spellStart"/>
      <w:r w:rsidR="000B0B12">
        <w:rPr>
          <w:rFonts w:ascii="Times New Roman" w:hAnsi="Times New Roman" w:cs="Times New Roman"/>
          <w:sz w:val="24"/>
          <w:szCs w:val="24"/>
        </w:rPr>
        <w:t>Санарпосинского</w:t>
      </w:r>
      <w:proofErr w:type="spellEnd"/>
      <w:r w:rsidR="000B0B1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от </w:t>
      </w:r>
      <w:r w:rsidR="000B0B12">
        <w:rPr>
          <w:rFonts w:ascii="Times New Roman" w:hAnsi="Times New Roman" w:cs="Times New Roman"/>
          <w:sz w:val="24"/>
          <w:szCs w:val="24"/>
        </w:rPr>
        <w:t>1</w:t>
      </w:r>
      <w:r w:rsidR="00146C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F05F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05FA5">
        <w:rPr>
          <w:rFonts w:ascii="Times New Roman" w:hAnsi="Times New Roman" w:cs="Times New Roman"/>
          <w:sz w:val="24"/>
          <w:szCs w:val="24"/>
        </w:rPr>
        <w:t>35</w:t>
      </w:r>
      <w:r w:rsidR="000B0B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 «О бюджете </w:t>
      </w:r>
      <w:proofErr w:type="spellStart"/>
      <w:r w:rsidR="000B0B12">
        <w:rPr>
          <w:rFonts w:ascii="Times New Roman" w:hAnsi="Times New Roman" w:cs="Times New Roman"/>
          <w:sz w:val="24"/>
          <w:szCs w:val="24"/>
        </w:rPr>
        <w:t>Санарпосинского</w:t>
      </w:r>
      <w:proofErr w:type="spellEnd"/>
      <w:r w:rsidR="000B0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на </w:t>
      </w:r>
      <w:r w:rsidR="00146C8D">
        <w:rPr>
          <w:rFonts w:ascii="Times New Roman" w:hAnsi="Times New Roman" w:cs="Times New Roman"/>
          <w:sz w:val="24"/>
          <w:szCs w:val="24"/>
        </w:rPr>
        <w:t>201</w:t>
      </w:r>
      <w:r w:rsidR="00F05FA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146C8D" w:rsidRPr="00146C8D">
        <w:t xml:space="preserve"> </w:t>
      </w:r>
      <w:r w:rsidR="00146C8D" w:rsidRPr="00146C8D">
        <w:rPr>
          <w:rFonts w:ascii="Times New Roman" w:hAnsi="Times New Roman" w:cs="Times New Roman"/>
          <w:sz w:val="24"/>
          <w:szCs w:val="24"/>
        </w:rPr>
        <w:t xml:space="preserve">и </w:t>
      </w:r>
      <w:r w:rsidR="00061AC8">
        <w:rPr>
          <w:rFonts w:ascii="Times New Roman" w:hAnsi="Times New Roman" w:cs="Times New Roman"/>
          <w:sz w:val="24"/>
          <w:szCs w:val="24"/>
        </w:rPr>
        <w:t xml:space="preserve">на </w:t>
      </w:r>
      <w:r w:rsidR="00146C8D" w:rsidRPr="00146C8D"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F05FA5">
        <w:rPr>
          <w:rFonts w:ascii="Times New Roman" w:hAnsi="Times New Roman" w:cs="Times New Roman"/>
          <w:sz w:val="24"/>
          <w:szCs w:val="24"/>
        </w:rPr>
        <w:t>9 и 2020</w:t>
      </w:r>
      <w:r w:rsidR="00146C8D" w:rsidRPr="00146C8D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с учетом внесенных изменений (далее Решение о бюджете). </w:t>
      </w:r>
    </w:p>
    <w:p w:rsidR="00D82FEC" w:rsidRDefault="00D82FEC" w:rsidP="00D82FE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82FEC" w:rsidRDefault="00D82FEC" w:rsidP="00D82FE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2FEC" w:rsidRDefault="00D82FEC" w:rsidP="002F4949">
      <w:pPr>
        <w:tabs>
          <w:tab w:val="left" w:pos="6540"/>
          <w:tab w:val="right" w:pos="9355"/>
        </w:tabs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94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Основные показатели исполнения бюджета </w:t>
      </w:r>
      <w:proofErr w:type="spellStart"/>
      <w:r w:rsidR="000B0B12">
        <w:rPr>
          <w:rFonts w:ascii="Times New Roman" w:hAnsi="Times New Roman" w:cs="Times New Roman"/>
          <w:b/>
          <w:sz w:val="24"/>
          <w:szCs w:val="24"/>
        </w:rPr>
        <w:t>Санарпосинского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82FEC" w:rsidRDefault="00D82FEC" w:rsidP="00D82FEC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FEC" w:rsidRDefault="00D82FEC" w:rsidP="00D82FEC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82FEC" w:rsidRDefault="00D82FEC" w:rsidP="00D82FE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целом выполнение основных показателей бюджета </w:t>
      </w:r>
      <w:proofErr w:type="spellStart"/>
      <w:r w:rsidR="000B0B12">
        <w:rPr>
          <w:rFonts w:ascii="Times New Roman" w:hAnsi="Times New Roman" w:cs="Times New Roman"/>
          <w:sz w:val="24"/>
          <w:szCs w:val="24"/>
        </w:rPr>
        <w:t>Санарпосинского</w:t>
      </w:r>
      <w:proofErr w:type="spellEnd"/>
      <w:r w:rsidR="000B0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за </w:t>
      </w:r>
      <w:r w:rsidR="00146C8D">
        <w:rPr>
          <w:rFonts w:ascii="Times New Roman" w:hAnsi="Times New Roman" w:cs="Times New Roman"/>
          <w:sz w:val="24"/>
          <w:szCs w:val="24"/>
        </w:rPr>
        <w:t>201</w:t>
      </w:r>
      <w:r w:rsidR="00CA35C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утвержденных Решением о бюджете, характеризуются следующим образом:</w:t>
      </w:r>
    </w:p>
    <w:p w:rsidR="00D82FEC" w:rsidRDefault="00D82FEC" w:rsidP="00D82FE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доходы выполнены на </w:t>
      </w:r>
      <w:r w:rsidR="00CA35C6">
        <w:rPr>
          <w:rFonts w:ascii="Times New Roman" w:hAnsi="Times New Roman" w:cs="Times New Roman"/>
          <w:sz w:val="24"/>
          <w:szCs w:val="24"/>
        </w:rPr>
        <w:t>106,3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о бюджете </w:t>
      </w:r>
      <w:r w:rsidR="00CA35C6">
        <w:rPr>
          <w:rFonts w:ascii="Times New Roman" w:hAnsi="Times New Roman" w:cs="Times New Roman"/>
          <w:sz w:val="24"/>
          <w:szCs w:val="24"/>
        </w:rPr>
        <w:t>3625,5</w:t>
      </w:r>
      <w:r w:rsidR="002558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руб., исполнение –  </w:t>
      </w:r>
      <w:r w:rsidR="00CA35C6">
        <w:rPr>
          <w:rFonts w:ascii="Times New Roman" w:hAnsi="Times New Roman" w:cs="Times New Roman"/>
          <w:sz w:val="24"/>
          <w:szCs w:val="24"/>
        </w:rPr>
        <w:t>3854,9</w:t>
      </w:r>
      <w:r>
        <w:rPr>
          <w:rFonts w:ascii="Times New Roman" w:hAnsi="Times New Roman" w:cs="Times New Roman"/>
          <w:sz w:val="24"/>
          <w:szCs w:val="24"/>
        </w:rPr>
        <w:t xml:space="preserve"> тыс. руб.)  </w:t>
      </w:r>
      <w:r w:rsidR="00CA35C6">
        <w:rPr>
          <w:rFonts w:ascii="Times New Roman" w:hAnsi="Times New Roman" w:cs="Times New Roman"/>
          <w:sz w:val="24"/>
          <w:szCs w:val="24"/>
        </w:rPr>
        <w:t>бол</w:t>
      </w:r>
      <w:r w:rsidR="00255825">
        <w:rPr>
          <w:rFonts w:ascii="Times New Roman" w:hAnsi="Times New Roman" w:cs="Times New Roman"/>
          <w:sz w:val="24"/>
          <w:szCs w:val="24"/>
        </w:rPr>
        <w:t>ьше</w:t>
      </w:r>
      <w:r>
        <w:rPr>
          <w:rFonts w:ascii="Times New Roman" w:hAnsi="Times New Roman" w:cs="Times New Roman"/>
          <w:sz w:val="24"/>
          <w:szCs w:val="24"/>
        </w:rPr>
        <w:t xml:space="preserve"> утвержденных Решением о бюджете  на </w:t>
      </w:r>
      <w:r w:rsidR="00CA35C6">
        <w:rPr>
          <w:rFonts w:ascii="Times New Roman" w:hAnsi="Times New Roman" w:cs="Times New Roman"/>
          <w:sz w:val="24"/>
          <w:szCs w:val="24"/>
        </w:rPr>
        <w:t>229,4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 </w:t>
      </w:r>
    </w:p>
    <w:p w:rsidR="00D82FEC" w:rsidRDefault="00D82FEC" w:rsidP="00D82FE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расходы исполнены на </w:t>
      </w:r>
      <w:r w:rsidR="008A5506">
        <w:rPr>
          <w:rFonts w:ascii="Times New Roman" w:hAnsi="Times New Roman" w:cs="Times New Roman"/>
          <w:sz w:val="24"/>
          <w:szCs w:val="24"/>
        </w:rPr>
        <w:t>97,8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– </w:t>
      </w:r>
      <w:r w:rsidR="008A5506">
        <w:rPr>
          <w:rFonts w:ascii="Times New Roman" w:hAnsi="Times New Roman" w:cs="Times New Roman"/>
          <w:sz w:val="24"/>
          <w:szCs w:val="24"/>
        </w:rPr>
        <w:t>3685,5</w:t>
      </w:r>
      <w:r>
        <w:rPr>
          <w:rFonts w:ascii="Times New Roman" w:hAnsi="Times New Roman" w:cs="Times New Roman"/>
          <w:sz w:val="24"/>
          <w:szCs w:val="24"/>
        </w:rPr>
        <w:t xml:space="preserve">  тыс. руб., кассовое исполнение – </w:t>
      </w:r>
      <w:r w:rsidR="008A5506">
        <w:rPr>
          <w:rFonts w:ascii="Times New Roman" w:hAnsi="Times New Roman" w:cs="Times New Roman"/>
          <w:sz w:val="24"/>
          <w:szCs w:val="24"/>
        </w:rPr>
        <w:t>3605,5</w:t>
      </w:r>
      <w:r>
        <w:rPr>
          <w:rFonts w:ascii="Times New Roman" w:hAnsi="Times New Roman" w:cs="Times New Roman"/>
          <w:sz w:val="24"/>
          <w:szCs w:val="24"/>
        </w:rPr>
        <w:t xml:space="preserve">  тыс. руб.) или на </w:t>
      </w:r>
      <w:r w:rsidR="008A5506">
        <w:rPr>
          <w:rFonts w:ascii="Times New Roman" w:hAnsi="Times New Roman" w:cs="Times New Roman"/>
          <w:sz w:val="24"/>
          <w:szCs w:val="24"/>
        </w:rPr>
        <w:t>80,0</w:t>
      </w:r>
      <w:r>
        <w:rPr>
          <w:rFonts w:ascii="Times New Roman" w:hAnsi="Times New Roman" w:cs="Times New Roman"/>
          <w:sz w:val="24"/>
          <w:szCs w:val="24"/>
        </w:rPr>
        <w:t xml:space="preserve">  тыс. руб. меньше от утвержденных показателей. </w:t>
      </w:r>
    </w:p>
    <w:p w:rsidR="00D82FEC" w:rsidRDefault="00D82FEC" w:rsidP="00D82FE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413D0">
        <w:rPr>
          <w:rFonts w:ascii="Times New Roman" w:hAnsi="Times New Roman" w:cs="Times New Roman"/>
          <w:sz w:val="24"/>
          <w:szCs w:val="24"/>
        </w:rPr>
        <w:t>Про</w:t>
      </w:r>
      <w:r w:rsidR="00255825">
        <w:rPr>
          <w:rFonts w:ascii="Times New Roman" w:hAnsi="Times New Roman" w:cs="Times New Roman"/>
          <w:sz w:val="24"/>
          <w:szCs w:val="24"/>
        </w:rPr>
        <w:t>фицит</w:t>
      </w:r>
      <w:r>
        <w:rPr>
          <w:rFonts w:ascii="Times New Roman" w:hAnsi="Times New Roman" w:cs="Times New Roman"/>
          <w:sz w:val="24"/>
          <w:szCs w:val="24"/>
        </w:rPr>
        <w:t xml:space="preserve"> бюджета составил </w:t>
      </w:r>
      <w:r w:rsidR="008A5506">
        <w:rPr>
          <w:rFonts w:ascii="Times New Roman" w:hAnsi="Times New Roman" w:cs="Times New Roman"/>
          <w:sz w:val="24"/>
          <w:szCs w:val="24"/>
        </w:rPr>
        <w:t>249,4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</w:t>
      </w:r>
    </w:p>
    <w:p w:rsidR="00D82FEC" w:rsidRDefault="00D82FEC" w:rsidP="00D82FE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82FEC" w:rsidRDefault="00D82FEC" w:rsidP="00D82FE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2.Доходы бюджета </w:t>
      </w:r>
      <w:proofErr w:type="spellStart"/>
      <w:r w:rsidR="000B0B12" w:rsidRPr="000B0B12">
        <w:rPr>
          <w:rFonts w:ascii="Times New Roman" w:hAnsi="Times New Roman" w:cs="Times New Roman"/>
          <w:b/>
          <w:sz w:val="24"/>
          <w:szCs w:val="24"/>
        </w:rPr>
        <w:t>Санарпосинского</w:t>
      </w:r>
      <w:proofErr w:type="spellEnd"/>
      <w:r w:rsidR="000B0B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82FEC" w:rsidRDefault="00D82FEC" w:rsidP="00D82FE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FEC" w:rsidRDefault="00D82FEC" w:rsidP="00D82FE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Решением  о бюджете доходы на </w:t>
      </w:r>
      <w:r w:rsidR="00146C8D">
        <w:rPr>
          <w:rFonts w:ascii="Times New Roman" w:hAnsi="Times New Roman" w:cs="Times New Roman"/>
          <w:sz w:val="24"/>
          <w:szCs w:val="24"/>
        </w:rPr>
        <w:t>201</w:t>
      </w:r>
      <w:r w:rsidR="008A550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утверждены в сумме </w:t>
      </w:r>
      <w:r w:rsidR="008A5506">
        <w:rPr>
          <w:rFonts w:ascii="Times New Roman" w:hAnsi="Times New Roman" w:cs="Times New Roman"/>
          <w:sz w:val="24"/>
          <w:szCs w:val="24"/>
        </w:rPr>
        <w:t>3625,5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Согласно отчету об исполнении бюджета доходы бюджета </w:t>
      </w:r>
      <w:proofErr w:type="spellStart"/>
      <w:r w:rsidR="000B0B12">
        <w:rPr>
          <w:rFonts w:ascii="Times New Roman" w:hAnsi="Times New Roman" w:cs="Times New Roman"/>
          <w:sz w:val="24"/>
          <w:szCs w:val="24"/>
        </w:rPr>
        <w:t>Санарпосинского</w:t>
      </w:r>
      <w:proofErr w:type="spellEnd"/>
      <w:r w:rsidR="000B0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исполнены на </w:t>
      </w:r>
      <w:r w:rsidR="008A5506">
        <w:rPr>
          <w:rFonts w:ascii="Times New Roman" w:hAnsi="Times New Roman" w:cs="Times New Roman"/>
          <w:sz w:val="24"/>
          <w:szCs w:val="24"/>
        </w:rPr>
        <w:t>3854,9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8A5506">
        <w:rPr>
          <w:rFonts w:ascii="Times New Roman" w:hAnsi="Times New Roman" w:cs="Times New Roman"/>
          <w:sz w:val="24"/>
          <w:szCs w:val="24"/>
        </w:rPr>
        <w:t>6,3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8A5506">
        <w:rPr>
          <w:rFonts w:ascii="Times New Roman" w:hAnsi="Times New Roman" w:cs="Times New Roman"/>
          <w:sz w:val="24"/>
          <w:szCs w:val="24"/>
        </w:rPr>
        <w:t>бол</w:t>
      </w:r>
      <w:r w:rsidR="003F1288">
        <w:rPr>
          <w:rFonts w:ascii="Times New Roman" w:hAnsi="Times New Roman" w:cs="Times New Roman"/>
          <w:sz w:val="24"/>
          <w:szCs w:val="24"/>
        </w:rPr>
        <w:t>ьше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Решением о бюджете.  </w:t>
      </w:r>
    </w:p>
    <w:p w:rsidR="00D82FEC" w:rsidRDefault="00D82FEC" w:rsidP="00D82FE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Отклонение исполнения доходов бюджета </w:t>
      </w:r>
      <w:proofErr w:type="spellStart"/>
      <w:r w:rsidR="000B0B12">
        <w:rPr>
          <w:rFonts w:ascii="Times New Roman" w:hAnsi="Times New Roman" w:cs="Times New Roman"/>
          <w:sz w:val="24"/>
          <w:szCs w:val="24"/>
        </w:rPr>
        <w:t>Санарпосинского</w:t>
      </w:r>
      <w:proofErr w:type="spellEnd"/>
      <w:r w:rsidR="000B0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утвержденных назначений в разрезе собственных доходов и безвозмездных перечислений показаны в таблице №1. </w:t>
      </w:r>
    </w:p>
    <w:p w:rsidR="00D82FEC" w:rsidRDefault="00D82FEC" w:rsidP="00D82FE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82FEC" w:rsidRDefault="00D82FEC" w:rsidP="00D82FE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82FEC" w:rsidRDefault="00D82FEC" w:rsidP="00D82FE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82FEC" w:rsidRDefault="00D82FEC" w:rsidP="00D82FE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82FEC" w:rsidRDefault="00D82FEC" w:rsidP="00D82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№1(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3420"/>
        <w:gridCol w:w="1800"/>
        <w:gridCol w:w="1440"/>
        <w:gridCol w:w="1800"/>
        <w:gridCol w:w="1543"/>
      </w:tblGrid>
      <w:tr w:rsidR="00D82FEC" w:rsidTr="00D82FEC">
        <w:trPr>
          <w:trHeight w:val="413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D82F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D82F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 от Решения о бюджете</w:t>
            </w:r>
          </w:p>
          <w:p w:rsidR="00D82FEC" w:rsidRDefault="00D82FEC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D82FEC" w:rsidTr="00D82FEC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EC" w:rsidRDefault="00D82FE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EC" w:rsidRDefault="00D82FE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EC" w:rsidRDefault="00D82FE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Исполнение %</w:t>
            </w:r>
          </w:p>
        </w:tc>
      </w:tr>
      <w:tr w:rsidR="00D82FEC" w:rsidTr="000B0B1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.Собственные доходы</w:t>
            </w:r>
            <w:r>
              <w:rPr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8A5506" w:rsidP="00550C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8A5506" w:rsidP="00550C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749,5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8A5506" w:rsidP="00550C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8A5506" w:rsidP="00550C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103,4</w:t>
            </w:r>
          </w:p>
        </w:tc>
      </w:tr>
      <w:tr w:rsidR="00D82FEC" w:rsidTr="000B0B1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8A5506" w:rsidP="00550C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8A5506" w:rsidP="00550C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8A5506" w:rsidP="00550C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8A5506" w:rsidP="00550C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104,9</w:t>
            </w:r>
          </w:p>
        </w:tc>
      </w:tr>
      <w:tr w:rsidR="00D82FEC" w:rsidTr="000B0B1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8A5506" w:rsidP="00550C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8A5506" w:rsidP="00550C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8A5506" w:rsidP="00550C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-7,5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8A5506" w:rsidP="00550C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88,6</w:t>
            </w:r>
          </w:p>
        </w:tc>
      </w:tr>
      <w:tr w:rsidR="00D82FEC" w:rsidTr="000B0B1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rPr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8A5506" w:rsidP="00550C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2900,8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8A5506" w:rsidP="00550C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3105,4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8A5506" w:rsidP="00550C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8A5506" w:rsidP="00550C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107,1</w:t>
            </w:r>
          </w:p>
        </w:tc>
      </w:tr>
      <w:tr w:rsidR="00D82FEC" w:rsidTr="000B0B1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8A5506" w:rsidP="00550C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3625,5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8A5506" w:rsidP="00550C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3854,9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8A5506" w:rsidP="00550C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8A5506" w:rsidP="00550C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106,3</w:t>
            </w:r>
          </w:p>
        </w:tc>
      </w:tr>
    </w:tbl>
    <w:p w:rsidR="00D82FEC" w:rsidRDefault="00D82FEC" w:rsidP="00D82FE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82FEC" w:rsidRDefault="00D82FEC" w:rsidP="00D82FE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Доля собственных (налоговых и неналоговых) доходов в доходах бюджета </w:t>
      </w:r>
      <w:proofErr w:type="spellStart"/>
      <w:r w:rsidR="000B0B12">
        <w:rPr>
          <w:rFonts w:ascii="Times New Roman" w:hAnsi="Times New Roman" w:cs="Times New Roman"/>
          <w:sz w:val="24"/>
          <w:szCs w:val="24"/>
        </w:rPr>
        <w:t>Санарпосинского</w:t>
      </w:r>
      <w:proofErr w:type="spellEnd"/>
      <w:r w:rsidR="000B0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решению о бюджете составила </w:t>
      </w:r>
      <w:r w:rsidR="00316405">
        <w:rPr>
          <w:rFonts w:ascii="Times New Roman" w:hAnsi="Times New Roman" w:cs="Times New Roman"/>
          <w:sz w:val="24"/>
          <w:szCs w:val="24"/>
        </w:rPr>
        <w:t>20,0</w:t>
      </w:r>
      <w:r>
        <w:rPr>
          <w:rFonts w:ascii="Times New Roman" w:hAnsi="Times New Roman" w:cs="Times New Roman"/>
          <w:sz w:val="24"/>
          <w:szCs w:val="24"/>
        </w:rPr>
        <w:t xml:space="preserve"> %, по отчету об исполнении бюджета доля собственных доходов составила </w:t>
      </w:r>
      <w:r w:rsidR="00316405">
        <w:rPr>
          <w:rFonts w:ascii="Times New Roman" w:hAnsi="Times New Roman" w:cs="Times New Roman"/>
          <w:sz w:val="24"/>
          <w:szCs w:val="24"/>
        </w:rPr>
        <w:t>19,4</w:t>
      </w:r>
      <w:r>
        <w:rPr>
          <w:rFonts w:ascii="Times New Roman" w:hAnsi="Times New Roman" w:cs="Times New Roman"/>
          <w:sz w:val="24"/>
          <w:szCs w:val="24"/>
        </w:rPr>
        <w:t xml:space="preserve"> %, в том числе:</w:t>
      </w:r>
    </w:p>
    <w:p w:rsidR="00D82FEC" w:rsidRDefault="00D82FEC" w:rsidP="00D82FE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налоговые доходы поступили в сумме </w:t>
      </w:r>
      <w:r w:rsidR="00316405">
        <w:rPr>
          <w:rFonts w:ascii="Times New Roman" w:hAnsi="Times New Roman" w:cs="Times New Roman"/>
          <w:sz w:val="24"/>
          <w:szCs w:val="24"/>
        </w:rPr>
        <w:t>691,0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16405">
        <w:rPr>
          <w:rFonts w:ascii="Times New Roman" w:hAnsi="Times New Roman" w:cs="Times New Roman"/>
          <w:sz w:val="24"/>
          <w:szCs w:val="24"/>
        </w:rPr>
        <w:t>104,9</w:t>
      </w:r>
      <w:r>
        <w:rPr>
          <w:rFonts w:ascii="Times New Roman" w:hAnsi="Times New Roman" w:cs="Times New Roman"/>
          <w:sz w:val="24"/>
          <w:szCs w:val="24"/>
        </w:rPr>
        <w:t>% к плановым показателям.</w:t>
      </w:r>
    </w:p>
    <w:p w:rsidR="00D82FEC" w:rsidRDefault="00D82FEC" w:rsidP="00D82FE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неналоговые доходы поступили в сумме </w:t>
      </w:r>
      <w:r w:rsidR="00316405">
        <w:rPr>
          <w:rFonts w:ascii="Times New Roman" w:hAnsi="Times New Roman" w:cs="Times New Roman"/>
          <w:sz w:val="24"/>
          <w:szCs w:val="24"/>
        </w:rPr>
        <w:t>58,5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16405">
        <w:rPr>
          <w:rFonts w:ascii="Times New Roman" w:hAnsi="Times New Roman" w:cs="Times New Roman"/>
          <w:sz w:val="24"/>
          <w:szCs w:val="24"/>
        </w:rPr>
        <w:t>88,6</w:t>
      </w:r>
      <w:r w:rsidR="00443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к утвержденным бюджетным назначениям (неналоговые доходы 201</w:t>
      </w:r>
      <w:r w:rsidR="003164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316405">
        <w:rPr>
          <w:rFonts w:ascii="Times New Roman" w:hAnsi="Times New Roman" w:cs="Times New Roman"/>
          <w:sz w:val="24"/>
          <w:szCs w:val="24"/>
        </w:rPr>
        <w:t>167,9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D82FEC" w:rsidRDefault="00D82FEC" w:rsidP="00D82FE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Доля безвозмездных поступлений в общем объеме доходов, согласно решению о бюджете составила </w:t>
      </w:r>
      <w:r w:rsidR="00316405">
        <w:rPr>
          <w:rFonts w:ascii="Times New Roman" w:hAnsi="Times New Roman" w:cs="Times New Roman"/>
          <w:sz w:val="24"/>
          <w:szCs w:val="24"/>
        </w:rPr>
        <w:t>80,0</w:t>
      </w:r>
      <w:r>
        <w:rPr>
          <w:rFonts w:ascii="Times New Roman" w:hAnsi="Times New Roman" w:cs="Times New Roman"/>
          <w:sz w:val="24"/>
          <w:szCs w:val="24"/>
        </w:rPr>
        <w:t xml:space="preserve">% , согласно отчету – </w:t>
      </w:r>
      <w:r w:rsidR="00316405">
        <w:rPr>
          <w:rFonts w:ascii="Times New Roman" w:hAnsi="Times New Roman" w:cs="Times New Roman"/>
          <w:sz w:val="24"/>
          <w:szCs w:val="24"/>
        </w:rPr>
        <w:t>80,6</w:t>
      </w:r>
      <w:r>
        <w:rPr>
          <w:rFonts w:ascii="Times New Roman" w:hAnsi="Times New Roman" w:cs="Times New Roman"/>
          <w:sz w:val="24"/>
          <w:szCs w:val="24"/>
        </w:rPr>
        <w:t xml:space="preserve"> %. Безвозмездные поступления поступили в сумме </w:t>
      </w:r>
      <w:r w:rsidR="00316405">
        <w:rPr>
          <w:rFonts w:ascii="Times New Roman" w:hAnsi="Times New Roman" w:cs="Times New Roman"/>
          <w:sz w:val="24"/>
          <w:szCs w:val="24"/>
        </w:rPr>
        <w:t>3105,4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16405">
        <w:rPr>
          <w:rFonts w:ascii="Times New Roman" w:hAnsi="Times New Roman" w:cs="Times New Roman"/>
          <w:sz w:val="24"/>
          <w:szCs w:val="24"/>
        </w:rPr>
        <w:t>107,1</w:t>
      </w:r>
      <w:r>
        <w:rPr>
          <w:rFonts w:ascii="Times New Roman" w:hAnsi="Times New Roman" w:cs="Times New Roman"/>
          <w:sz w:val="24"/>
          <w:szCs w:val="24"/>
        </w:rPr>
        <w:t xml:space="preserve">% к утвержденным бюджетным назначениям, что </w:t>
      </w:r>
      <w:r w:rsidR="00316405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ьше поступлений 201</w:t>
      </w:r>
      <w:r w:rsidR="003164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316405">
        <w:rPr>
          <w:rFonts w:ascii="Times New Roman" w:hAnsi="Times New Roman" w:cs="Times New Roman"/>
          <w:sz w:val="24"/>
          <w:szCs w:val="24"/>
        </w:rPr>
        <w:t>1272,6</w:t>
      </w:r>
      <w:r>
        <w:rPr>
          <w:rFonts w:ascii="Times New Roman" w:hAnsi="Times New Roman" w:cs="Times New Roman"/>
          <w:sz w:val="24"/>
          <w:szCs w:val="24"/>
        </w:rPr>
        <w:t xml:space="preserve"> тыс. рублей  (в 201</w:t>
      </w:r>
      <w:r w:rsidR="003164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316405">
        <w:rPr>
          <w:rFonts w:ascii="Times New Roman" w:hAnsi="Times New Roman" w:cs="Times New Roman"/>
          <w:sz w:val="24"/>
          <w:szCs w:val="24"/>
        </w:rPr>
        <w:t>1832,8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D82FEC" w:rsidRDefault="00D82FEC" w:rsidP="00D82FE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82FEC" w:rsidRDefault="00D82FEC" w:rsidP="00D82FEC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2.1.1.Налоговые доходы</w:t>
      </w:r>
    </w:p>
    <w:p w:rsidR="00D82FEC" w:rsidRDefault="00D82FEC" w:rsidP="00D82FEC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FEC" w:rsidRDefault="00D82FEC" w:rsidP="00D82FEC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Налоговые доходы поступили в сумме </w:t>
      </w:r>
      <w:r w:rsidR="00595D04">
        <w:rPr>
          <w:rFonts w:ascii="Times New Roman" w:hAnsi="Times New Roman" w:cs="Times New Roman"/>
          <w:sz w:val="24"/>
          <w:szCs w:val="24"/>
        </w:rPr>
        <w:t>691,0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95D04">
        <w:rPr>
          <w:rFonts w:ascii="Times New Roman" w:hAnsi="Times New Roman" w:cs="Times New Roman"/>
          <w:sz w:val="24"/>
          <w:szCs w:val="24"/>
        </w:rPr>
        <w:t>104,9</w:t>
      </w:r>
      <w:r w:rsidR="00491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146C8D">
        <w:rPr>
          <w:rFonts w:ascii="Times New Roman" w:hAnsi="Times New Roman" w:cs="Times New Roman"/>
          <w:sz w:val="24"/>
          <w:szCs w:val="24"/>
        </w:rPr>
        <w:t>201</w:t>
      </w:r>
      <w:r w:rsidR="00595D0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595D04">
        <w:rPr>
          <w:rFonts w:ascii="Times New Roman" w:hAnsi="Times New Roman" w:cs="Times New Roman"/>
          <w:sz w:val="24"/>
          <w:szCs w:val="24"/>
        </w:rPr>
        <w:t>69,1</w:t>
      </w:r>
      <w:r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491CC6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аналогичного периода прошлого года.</w:t>
      </w:r>
    </w:p>
    <w:p w:rsidR="00D82FEC" w:rsidRDefault="00D82FEC" w:rsidP="00D82FE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налоговым доходам за </w:t>
      </w:r>
      <w:r w:rsidR="00146C8D">
        <w:rPr>
          <w:rFonts w:ascii="Times New Roman" w:hAnsi="Times New Roman" w:cs="Times New Roman"/>
          <w:sz w:val="24"/>
          <w:szCs w:val="24"/>
        </w:rPr>
        <w:t>201</w:t>
      </w:r>
      <w:r w:rsidR="00595D0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№2.</w:t>
      </w:r>
    </w:p>
    <w:p w:rsidR="00D82FEC" w:rsidRDefault="00D82FEC" w:rsidP="00D82FE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таблица №2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218"/>
        <w:gridCol w:w="1804"/>
        <w:gridCol w:w="1917"/>
        <w:gridCol w:w="1671"/>
        <w:gridCol w:w="1422"/>
      </w:tblGrid>
      <w:tr w:rsidR="00D82FEC" w:rsidTr="00D82F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D82F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 w:rsidP="00595D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146C8D">
              <w:rPr>
                <w:sz w:val="24"/>
                <w:szCs w:val="24"/>
                <w:lang w:eastAsia="ru-RU"/>
              </w:rPr>
              <w:t>201</w:t>
            </w:r>
            <w:r w:rsidR="00595D04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 w:rsidP="00595D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146C8D">
              <w:rPr>
                <w:sz w:val="24"/>
                <w:szCs w:val="24"/>
                <w:lang w:eastAsia="ru-RU"/>
              </w:rPr>
              <w:t>201</w:t>
            </w:r>
            <w:r w:rsidR="00595D04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 отклонений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82FEC" w:rsidTr="000B0B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116,0</w:t>
            </w:r>
          </w:p>
        </w:tc>
      </w:tr>
      <w:tr w:rsidR="00D82FEC" w:rsidTr="000B0B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104,4</w:t>
            </w:r>
          </w:p>
        </w:tc>
      </w:tr>
      <w:tr w:rsidR="00D82FEC" w:rsidTr="000B0B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Единый с/х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93,0</w:t>
            </w:r>
          </w:p>
        </w:tc>
      </w:tr>
      <w:tr w:rsidR="00D82FEC" w:rsidTr="000B0B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102,4</w:t>
            </w:r>
          </w:p>
        </w:tc>
      </w:tr>
      <w:tr w:rsidR="00D82FEC" w:rsidTr="000B0B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101,3</w:t>
            </w:r>
          </w:p>
        </w:tc>
      </w:tr>
      <w:tr w:rsidR="00D82FEC" w:rsidTr="000B0B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F20B75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67,8</w:t>
            </w:r>
          </w:p>
        </w:tc>
      </w:tr>
      <w:tr w:rsidR="00D82FEC" w:rsidTr="000B0B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Налоговые доходы,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95D04" w:rsidP="00DE73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104,9</w:t>
            </w:r>
          </w:p>
        </w:tc>
      </w:tr>
    </w:tbl>
    <w:p w:rsidR="00D82FEC" w:rsidRDefault="00D82FEC" w:rsidP="00D82FE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Больше запланированного Решением о бюджете на </w:t>
      </w:r>
      <w:r w:rsidR="00146C8D">
        <w:rPr>
          <w:rFonts w:ascii="Times New Roman" w:hAnsi="Times New Roman" w:cs="Times New Roman"/>
          <w:sz w:val="24"/>
          <w:szCs w:val="24"/>
        </w:rPr>
        <w:t>201</w:t>
      </w:r>
      <w:r w:rsidR="00595D0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поступили: </w:t>
      </w:r>
      <w:r w:rsidR="00595D04" w:rsidRPr="00595D04">
        <w:rPr>
          <w:rFonts w:ascii="Times New Roman" w:hAnsi="Times New Roman" w:cs="Times New Roman"/>
          <w:sz w:val="24"/>
          <w:szCs w:val="24"/>
        </w:rPr>
        <w:t xml:space="preserve">акцизы по подакцизным товарам на </w:t>
      </w:r>
      <w:r w:rsidR="00595D04">
        <w:rPr>
          <w:rFonts w:ascii="Times New Roman" w:hAnsi="Times New Roman" w:cs="Times New Roman"/>
          <w:sz w:val="24"/>
          <w:szCs w:val="24"/>
        </w:rPr>
        <w:t>28,6</w:t>
      </w:r>
      <w:r w:rsidR="00595D04" w:rsidRPr="00595D04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налог на доходы физических лиц на </w:t>
      </w:r>
      <w:r w:rsidR="00595D04">
        <w:rPr>
          <w:rFonts w:ascii="Times New Roman" w:hAnsi="Times New Roman" w:cs="Times New Roman"/>
          <w:sz w:val="24"/>
          <w:szCs w:val="24"/>
        </w:rPr>
        <w:t>3,7</w:t>
      </w:r>
      <w:r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595D04" w:rsidRPr="00595D04">
        <w:rPr>
          <w:rFonts w:ascii="Times New Roman" w:hAnsi="Times New Roman" w:cs="Times New Roman"/>
          <w:sz w:val="24"/>
          <w:szCs w:val="24"/>
        </w:rPr>
        <w:t xml:space="preserve">налог на имущество физических лиц на </w:t>
      </w:r>
      <w:r w:rsidR="00595D04">
        <w:rPr>
          <w:rFonts w:ascii="Times New Roman" w:hAnsi="Times New Roman" w:cs="Times New Roman"/>
          <w:sz w:val="24"/>
          <w:szCs w:val="24"/>
        </w:rPr>
        <w:t>2</w:t>
      </w:r>
      <w:r w:rsidR="00595D04" w:rsidRPr="00595D04">
        <w:rPr>
          <w:rFonts w:ascii="Times New Roman" w:hAnsi="Times New Roman" w:cs="Times New Roman"/>
          <w:sz w:val="24"/>
          <w:szCs w:val="24"/>
        </w:rPr>
        <w:t xml:space="preserve">,6 тыс. рублей, земельный налог на </w:t>
      </w:r>
      <w:r w:rsidR="00595D04">
        <w:rPr>
          <w:rFonts w:ascii="Times New Roman" w:hAnsi="Times New Roman" w:cs="Times New Roman"/>
          <w:sz w:val="24"/>
          <w:szCs w:val="24"/>
        </w:rPr>
        <w:t>3,1</w:t>
      </w:r>
      <w:r w:rsidR="00595D04" w:rsidRPr="00595D0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95D04">
        <w:rPr>
          <w:rFonts w:ascii="Times New Roman" w:hAnsi="Times New Roman" w:cs="Times New Roman"/>
          <w:sz w:val="24"/>
          <w:szCs w:val="24"/>
        </w:rPr>
        <w:t>.</w:t>
      </w:r>
      <w:r w:rsidR="00595D04" w:rsidRPr="00595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FEC" w:rsidRDefault="00D82FEC" w:rsidP="00D82FE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Меньше запланированного поступили:</w:t>
      </w:r>
      <w:r w:rsidR="00595D04">
        <w:rPr>
          <w:rFonts w:ascii="Times New Roman" w:hAnsi="Times New Roman" w:cs="Times New Roman"/>
          <w:sz w:val="24"/>
          <w:szCs w:val="24"/>
        </w:rPr>
        <w:t xml:space="preserve"> е</w:t>
      </w:r>
      <w:r w:rsidR="00595D04" w:rsidRPr="00595D04">
        <w:rPr>
          <w:rFonts w:ascii="Times New Roman" w:hAnsi="Times New Roman" w:cs="Times New Roman"/>
          <w:sz w:val="24"/>
          <w:szCs w:val="24"/>
        </w:rPr>
        <w:t>диный с</w:t>
      </w:r>
      <w:r w:rsidR="00595D04">
        <w:rPr>
          <w:rFonts w:ascii="Times New Roman" w:hAnsi="Times New Roman" w:cs="Times New Roman"/>
          <w:sz w:val="24"/>
          <w:szCs w:val="24"/>
        </w:rPr>
        <w:t xml:space="preserve">ельскохозяйственный </w:t>
      </w:r>
      <w:r w:rsidR="00595D04" w:rsidRPr="00595D04">
        <w:rPr>
          <w:rFonts w:ascii="Times New Roman" w:hAnsi="Times New Roman" w:cs="Times New Roman"/>
          <w:sz w:val="24"/>
          <w:szCs w:val="24"/>
        </w:rPr>
        <w:t xml:space="preserve">налог на </w:t>
      </w:r>
      <w:r w:rsidR="00595D04">
        <w:rPr>
          <w:rFonts w:ascii="Times New Roman" w:hAnsi="Times New Roman" w:cs="Times New Roman"/>
          <w:sz w:val="24"/>
          <w:szCs w:val="24"/>
        </w:rPr>
        <w:t>2,8</w:t>
      </w:r>
      <w:r w:rsidR="00595D04" w:rsidRPr="00595D0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95D04">
        <w:rPr>
          <w:rFonts w:ascii="Times New Roman" w:hAnsi="Times New Roman" w:cs="Times New Roman"/>
          <w:sz w:val="24"/>
          <w:szCs w:val="24"/>
        </w:rPr>
        <w:t>,</w:t>
      </w:r>
      <w:r w:rsidR="00595D04" w:rsidRPr="00595D04">
        <w:rPr>
          <w:rFonts w:ascii="Times New Roman" w:hAnsi="Times New Roman" w:cs="Times New Roman"/>
          <w:sz w:val="24"/>
          <w:szCs w:val="24"/>
        </w:rPr>
        <w:t xml:space="preserve"> государственная пошлина на </w:t>
      </w:r>
      <w:r w:rsidR="00BC0C33">
        <w:rPr>
          <w:rFonts w:ascii="Times New Roman" w:hAnsi="Times New Roman" w:cs="Times New Roman"/>
          <w:sz w:val="24"/>
          <w:szCs w:val="24"/>
        </w:rPr>
        <w:t>2,9</w:t>
      </w:r>
      <w:r w:rsidR="00595D04" w:rsidRPr="00595D04"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FEC" w:rsidRDefault="00D82FEC" w:rsidP="00D82FE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82FEC" w:rsidRDefault="00D82FEC" w:rsidP="00D82FEC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2.1.2.Неналоговые доходы</w:t>
      </w:r>
    </w:p>
    <w:p w:rsidR="00D82FEC" w:rsidRDefault="00D82FEC" w:rsidP="00D82FEC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FEC" w:rsidRDefault="00D82FEC" w:rsidP="00D82FE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Неналоговые доходы поступили в сумме </w:t>
      </w:r>
      <w:r w:rsidR="00E9779B">
        <w:rPr>
          <w:rFonts w:ascii="Times New Roman" w:hAnsi="Times New Roman" w:cs="Times New Roman"/>
          <w:sz w:val="24"/>
          <w:szCs w:val="24"/>
        </w:rPr>
        <w:t>58,5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E9779B">
        <w:rPr>
          <w:rFonts w:ascii="Times New Roman" w:hAnsi="Times New Roman" w:cs="Times New Roman"/>
          <w:sz w:val="24"/>
          <w:szCs w:val="24"/>
        </w:rPr>
        <w:t>88,6</w:t>
      </w:r>
      <w:r>
        <w:rPr>
          <w:rFonts w:ascii="Times New Roman" w:hAnsi="Times New Roman" w:cs="Times New Roman"/>
          <w:sz w:val="24"/>
          <w:szCs w:val="24"/>
        </w:rPr>
        <w:t xml:space="preserve">% к прогнозу на </w:t>
      </w:r>
      <w:r w:rsidR="00146C8D">
        <w:rPr>
          <w:rFonts w:ascii="Times New Roman" w:hAnsi="Times New Roman" w:cs="Times New Roman"/>
          <w:sz w:val="24"/>
          <w:szCs w:val="24"/>
        </w:rPr>
        <w:t>201</w:t>
      </w:r>
      <w:r w:rsidR="00E9779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E9779B">
        <w:rPr>
          <w:rFonts w:ascii="Times New Roman" w:hAnsi="Times New Roman" w:cs="Times New Roman"/>
          <w:sz w:val="24"/>
          <w:szCs w:val="24"/>
        </w:rPr>
        <w:t>109,4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E9779B">
        <w:rPr>
          <w:rFonts w:ascii="Times New Roman" w:hAnsi="Times New Roman" w:cs="Times New Roman"/>
          <w:sz w:val="24"/>
          <w:szCs w:val="24"/>
        </w:rPr>
        <w:t>2,8</w:t>
      </w:r>
      <w:r w:rsidR="002730DD">
        <w:rPr>
          <w:rFonts w:ascii="Times New Roman" w:hAnsi="Times New Roman" w:cs="Times New Roman"/>
          <w:sz w:val="24"/>
          <w:szCs w:val="24"/>
        </w:rPr>
        <w:t xml:space="preserve"> </w:t>
      </w:r>
      <w:r w:rsidR="007A1480">
        <w:rPr>
          <w:rFonts w:ascii="Times New Roman" w:hAnsi="Times New Roman" w:cs="Times New Roman"/>
          <w:sz w:val="24"/>
          <w:szCs w:val="24"/>
        </w:rPr>
        <w:t>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79B">
        <w:rPr>
          <w:rFonts w:ascii="Times New Roman" w:hAnsi="Times New Roman" w:cs="Times New Roman"/>
          <w:sz w:val="24"/>
          <w:szCs w:val="24"/>
        </w:rPr>
        <w:t>мен</w:t>
      </w:r>
      <w:r w:rsidR="002730DD">
        <w:rPr>
          <w:rFonts w:ascii="Times New Roman" w:hAnsi="Times New Roman" w:cs="Times New Roman"/>
          <w:sz w:val="24"/>
          <w:szCs w:val="24"/>
        </w:rPr>
        <w:t>ьше</w:t>
      </w:r>
      <w:r>
        <w:rPr>
          <w:rFonts w:ascii="Times New Roman" w:hAnsi="Times New Roman" w:cs="Times New Roman"/>
          <w:sz w:val="24"/>
          <w:szCs w:val="24"/>
        </w:rPr>
        <w:t xml:space="preserve"> уровня аналогичного периода прошлого года.</w:t>
      </w:r>
    </w:p>
    <w:p w:rsidR="00D82FEC" w:rsidRDefault="00D82FEC" w:rsidP="00D82FE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неналоговым доходам за </w:t>
      </w:r>
      <w:r w:rsidR="00146C8D">
        <w:rPr>
          <w:rFonts w:ascii="Times New Roman" w:hAnsi="Times New Roman" w:cs="Times New Roman"/>
          <w:sz w:val="24"/>
          <w:szCs w:val="24"/>
        </w:rPr>
        <w:t>201</w:t>
      </w:r>
      <w:r w:rsidR="00E9779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№3.</w:t>
      </w:r>
    </w:p>
    <w:p w:rsidR="00D82FEC" w:rsidRDefault="00D82FEC" w:rsidP="00D82FE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№3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93"/>
        <w:gridCol w:w="1688"/>
        <w:gridCol w:w="1680"/>
        <w:gridCol w:w="1549"/>
        <w:gridCol w:w="1422"/>
      </w:tblGrid>
      <w:tr w:rsidR="00D82FEC" w:rsidTr="00D82FEC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D82F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 w:rsidP="00E9779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146C8D">
              <w:rPr>
                <w:sz w:val="24"/>
                <w:szCs w:val="24"/>
                <w:lang w:eastAsia="ru-RU"/>
              </w:rPr>
              <w:t>201</w:t>
            </w:r>
            <w:r w:rsidR="00E9779B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 w:rsidP="00E9779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146C8D">
              <w:rPr>
                <w:sz w:val="24"/>
                <w:szCs w:val="24"/>
                <w:lang w:eastAsia="ru-RU"/>
              </w:rPr>
              <w:t>201</w:t>
            </w:r>
            <w:r w:rsidR="00E9779B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 w:rsidP="007A14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 w:rsidP="007A14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  <w:p w:rsidR="00D82FEC" w:rsidRDefault="00D82FEC" w:rsidP="007A14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исполнения</w:t>
            </w:r>
          </w:p>
        </w:tc>
      </w:tr>
      <w:tr w:rsidR="00D82FEC" w:rsidTr="000B0B12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 w:rsidP="002730D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Доходы от </w:t>
            </w:r>
            <w:r w:rsidR="002730DD">
              <w:rPr>
                <w:b/>
                <w:sz w:val="24"/>
                <w:szCs w:val="24"/>
                <w:lang w:eastAsia="ru-RU"/>
              </w:rPr>
              <w:t>использования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C955E6" w:rsidP="007A14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C955E6" w:rsidP="007A14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C955E6" w:rsidP="00FA6D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C955E6" w:rsidP="007A14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102,0</w:t>
            </w:r>
          </w:p>
        </w:tc>
      </w:tr>
      <w:tr w:rsidR="00D82FEC" w:rsidTr="002730DD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2730DD" w:rsidP="002730D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C955E6" w:rsidP="007A14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C955E6" w:rsidP="007A14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C955E6" w:rsidP="00FA6D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-12,4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C955E6" w:rsidP="007A14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77,9</w:t>
            </w:r>
          </w:p>
        </w:tc>
      </w:tr>
      <w:tr w:rsidR="002730DD" w:rsidTr="002730DD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DD" w:rsidRDefault="002730DD" w:rsidP="002730D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поступления от использования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DD" w:rsidRDefault="00C955E6" w:rsidP="007A14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DD" w:rsidRDefault="00C955E6" w:rsidP="007A14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DD" w:rsidRDefault="00C955E6" w:rsidP="00FA6D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DD" w:rsidRDefault="00C955E6" w:rsidP="007A14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237,0</w:t>
            </w:r>
          </w:p>
        </w:tc>
      </w:tr>
      <w:tr w:rsidR="00FA6D1A" w:rsidTr="000B0B12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A" w:rsidRDefault="00FA6D1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FA6D1A">
              <w:rPr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A" w:rsidRDefault="00C955E6" w:rsidP="007A14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A" w:rsidRDefault="00C955E6" w:rsidP="007A14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-8,8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A" w:rsidRDefault="00C955E6" w:rsidP="007A14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-8,8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A" w:rsidRDefault="00FA6D1A" w:rsidP="007A14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</w:tr>
      <w:tr w:rsidR="00D82FEC" w:rsidTr="000B0B12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Неналоговые доходы, всего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C955E6" w:rsidP="007A14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C955E6" w:rsidP="007A14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C955E6" w:rsidP="00FA6D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-7,5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C955E6" w:rsidP="007A14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88,6</w:t>
            </w:r>
          </w:p>
        </w:tc>
      </w:tr>
    </w:tbl>
    <w:p w:rsidR="00D82FEC" w:rsidRDefault="00D82FEC" w:rsidP="00D82FE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82FEC" w:rsidRDefault="00D82FEC" w:rsidP="00D82FE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82FEC" w:rsidRDefault="00D82FEC" w:rsidP="00D82FE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82FEC" w:rsidRDefault="00D82FEC" w:rsidP="00D82FEC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Безвозмездные поступления</w:t>
      </w:r>
    </w:p>
    <w:p w:rsidR="00D82FEC" w:rsidRDefault="00D82FEC" w:rsidP="00D82FE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2FEC" w:rsidRDefault="00D82FEC" w:rsidP="00D82FE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по безвозмездным поступлениям за </w:t>
      </w:r>
      <w:r w:rsidR="00146C8D">
        <w:rPr>
          <w:rFonts w:ascii="Times New Roman" w:hAnsi="Times New Roman" w:cs="Times New Roman"/>
          <w:sz w:val="24"/>
          <w:szCs w:val="24"/>
        </w:rPr>
        <w:t>201</w:t>
      </w:r>
      <w:r w:rsidR="00F51A3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№4.</w:t>
      </w:r>
    </w:p>
    <w:p w:rsidR="00D82FEC" w:rsidRDefault="00D82FEC" w:rsidP="00D82FE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FEC" w:rsidRDefault="00D82FEC" w:rsidP="00D82FE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C07C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таблица №4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50"/>
        <w:gridCol w:w="1701"/>
        <w:gridCol w:w="1700"/>
        <w:gridCol w:w="1559"/>
        <w:gridCol w:w="1422"/>
      </w:tblGrid>
      <w:tr w:rsidR="00D82FEC" w:rsidTr="0096520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D82F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 w:rsidP="001B1C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Утверждено на </w:t>
            </w:r>
            <w:r w:rsidR="00146C8D">
              <w:rPr>
                <w:sz w:val="24"/>
                <w:szCs w:val="24"/>
                <w:lang w:eastAsia="ru-RU"/>
              </w:rPr>
              <w:t>201</w:t>
            </w:r>
            <w:r w:rsidR="001B1C37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 w:rsidP="001B1C3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Исполнено за </w:t>
            </w:r>
            <w:r w:rsidR="00146C8D">
              <w:rPr>
                <w:sz w:val="24"/>
                <w:szCs w:val="24"/>
                <w:lang w:eastAsia="ru-RU"/>
              </w:rPr>
              <w:t>201</w:t>
            </w:r>
            <w:r w:rsidR="001B1C37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82FEC" w:rsidTr="0096520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1B1C37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1B1C37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1B1C37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7C07C5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82FEC" w:rsidTr="0096520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1B1C37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1B1C37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1B1C37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7C07C5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1B1C37" w:rsidTr="0096520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37" w:rsidRDefault="001B1C3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37" w:rsidRDefault="001B1C37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37" w:rsidRDefault="001B1C37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37" w:rsidRDefault="001B1C37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37" w:rsidRDefault="001B1C37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82FEC" w:rsidTr="0096520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1B1C37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1B1C37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1B1C37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7C07C5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82FEC" w:rsidTr="0096520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учета, где отсутствуют военные </w:t>
            </w:r>
            <w:r>
              <w:rPr>
                <w:sz w:val="24"/>
                <w:szCs w:val="24"/>
                <w:lang w:eastAsia="ru-RU"/>
              </w:rPr>
              <w:lastRenderedPageBreak/>
              <w:t>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1B1C37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1B1C37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1B1C37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7C07C5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1B1C37" w:rsidTr="0096520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37" w:rsidRPr="001B1C37" w:rsidRDefault="001B1C37">
            <w:pPr>
              <w:jc w:val="both"/>
              <w:rPr>
                <w:sz w:val="24"/>
                <w:szCs w:val="24"/>
                <w:lang w:eastAsia="ru-RU"/>
              </w:rPr>
            </w:pPr>
            <w:r w:rsidRPr="001B1C37">
              <w:rPr>
                <w:sz w:val="24"/>
                <w:szCs w:val="24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37" w:rsidRDefault="001B1C37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37" w:rsidRDefault="001B1C37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37" w:rsidRDefault="001B1C37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37" w:rsidRDefault="001B1C37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257,4</w:t>
            </w:r>
          </w:p>
        </w:tc>
      </w:tr>
      <w:tr w:rsidR="00D82FEC" w:rsidTr="00965205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Pr="00965205" w:rsidRDefault="00D82FE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965205">
              <w:rPr>
                <w:b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1B1C37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2900,8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1B1C37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3105,4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1B1C37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1B1C37" w:rsidP="009652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107,1</w:t>
            </w:r>
          </w:p>
        </w:tc>
      </w:tr>
    </w:tbl>
    <w:p w:rsidR="00D82FEC" w:rsidRDefault="00D82FEC" w:rsidP="00D82FE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82FEC" w:rsidRDefault="00D82FEC" w:rsidP="00D82FE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82FEC" w:rsidRDefault="00D82FEC" w:rsidP="00D82FE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Расходы бюджета </w:t>
      </w:r>
      <w:proofErr w:type="spellStart"/>
      <w:r w:rsidR="000B0B12">
        <w:rPr>
          <w:rFonts w:ascii="Times New Roman" w:hAnsi="Times New Roman" w:cs="Times New Roman"/>
          <w:b/>
          <w:sz w:val="24"/>
          <w:szCs w:val="24"/>
        </w:rPr>
        <w:t>Санарпосинского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82FEC" w:rsidRDefault="00D82FEC" w:rsidP="00D82FEC">
      <w:pPr>
        <w:spacing w:after="0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D82FEC" w:rsidRDefault="00D82FEC" w:rsidP="00D82FEC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Расходная часть бюджета исполнена на </w:t>
      </w:r>
      <w:r w:rsidR="006F1E7D">
        <w:rPr>
          <w:rFonts w:ascii="Times New Roman" w:hAnsi="Times New Roman" w:cs="Times New Roman"/>
          <w:sz w:val="24"/>
          <w:szCs w:val="24"/>
        </w:rPr>
        <w:t>3605,5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F1E7D">
        <w:rPr>
          <w:rFonts w:ascii="Times New Roman" w:hAnsi="Times New Roman" w:cs="Times New Roman"/>
          <w:sz w:val="24"/>
          <w:szCs w:val="24"/>
        </w:rPr>
        <w:t>97,8</w:t>
      </w:r>
      <w:r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 (</w:t>
      </w:r>
      <w:r w:rsidR="006F1E7D">
        <w:rPr>
          <w:rFonts w:ascii="Times New Roman" w:hAnsi="Times New Roman" w:cs="Times New Roman"/>
          <w:sz w:val="24"/>
          <w:szCs w:val="24"/>
        </w:rPr>
        <w:t>3685,5</w:t>
      </w:r>
      <w:r>
        <w:rPr>
          <w:rFonts w:ascii="Times New Roman" w:hAnsi="Times New Roman" w:cs="Times New Roman"/>
          <w:sz w:val="24"/>
          <w:szCs w:val="24"/>
        </w:rPr>
        <w:t xml:space="preserve"> тыс. руб.). Неосвоен</w:t>
      </w:r>
      <w:r w:rsidR="003B51F0">
        <w:rPr>
          <w:rFonts w:ascii="Times New Roman" w:hAnsi="Times New Roman" w:cs="Times New Roman"/>
          <w:sz w:val="24"/>
          <w:szCs w:val="24"/>
        </w:rPr>
        <w:t>ные</w:t>
      </w:r>
      <w:r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3B51F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="003B51F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3B51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E7D">
        <w:rPr>
          <w:rFonts w:ascii="Times New Roman" w:hAnsi="Times New Roman" w:cs="Times New Roman"/>
          <w:sz w:val="24"/>
          <w:szCs w:val="24"/>
        </w:rPr>
        <w:t>80,0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82FEC" w:rsidRDefault="00D82FEC" w:rsidP="00D82FE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Общая характеристика освоения средств  по разделам функциональной классификации приведена в таблице №5.</w:t>
      </w:r>
    </w:p>
    <w:p w:rsidR="00D82FEC" w:rsidRDefault="00D82FEC" w:rsidP="00D82FE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№5 (тыс. руб.)</w:t>
      </w:r>
    </w:p>
    <w:tbl>
      <w:tblPr>
        <w:tblStyle w:val="a3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2667"/>
        <w:gridCol w:w="1842"/>
        <w:gridCol w:w="1251"/>
        <w:gridCol w:w="1260"/>
        <w:gridCol w:w="1605"/>
        <w:gridCol w:w="1378"/>
      </w:tblGrid>
      <w:tr w:rsidR="00D82FEC" w:rsidTr="00D33804">
        <w:trPr>
          <w:trHeight w:val="137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в общей сумме расходов,%</w:t>
            </w:r>
          </w:p>
        </w:tc>
      </w:tr>
      <w:tr w:rsidR="00D82FEC" w:rsidTr="00D3380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25074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1252,7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25074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25074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25074" w:rsidP="00FB37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-5,3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25074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34,6</w:t>
            </w:r>
          </w:p>
        </w:tc>
      </w:tr>
      <w:tr w:rsidR="00D82FEC" w:rsidTr="00D3380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25074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25074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7C07C5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25074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25074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1,9</w:t>
            </w:r>
          </w:p>
        </w:tc>
      </w:tr>
      <w:tr w:rsidR="00D82FEC" w:rsidTr="00D3380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25074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1141,7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25074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25074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25074" w:rsidP="00FB37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-66,7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25074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29,8</w:t>
            </w:r>
          </w:p>
        </w:tc>
      </w:tr>
      <w:tr w:rsidR="00D82FEC" w:rsidTr="00D3380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25074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25074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25074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7C07C5" w:rsidP="0052507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525074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25074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4,5</w:t>
            </w:r>
          </w:p>
        </w:tc>
      </w:tr>
      <w:tr w:rsidR="00D82FEC" w:rsidTr="00D3380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25074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25074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25074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335CFB" w:rsidP="0052507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525074">
              <w:rPr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25074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29,2</w:t>
            </w:r>
          </w:p>
        </w:tc>
      </w:tr>
      <w:tr w:rsidR="00D82FEC" w:rsidTr="00D3380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EC" w:rsidRDefault="00D82FE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25074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3685,5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25074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3605,5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525074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335CFB" w:rsidP="0052507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525074">
              <w:rPr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C" w:rsidRDefault="007C07C5" w:rsidP="00D3380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</w:tbl>
    <w:p w:rsidR="00D82FEC" w:rsidRDefault="00D82FEC" w:rsidP="00D82FE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2FEC" w:rsidRDefault="00D82FEC" w:rsidP="00D82FE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структуре расходов бюджета поселения наибольший удельный вес занимают </w:t>
      </w:r>
      <w:r w:rsidR="00817E8B" w:rsidRPr="00817E8B">
        <w:rPr>
          <w:rFonts w:ascii="Times New Roman" w:hAnsi="Times New Roman" w:cs="Times New Roman"/>
          <w:sz w:val="24"/>
          <w:szCs w:val="24"/>
        </w:rPr>
        <w:t xml:space="preserve">расходы на  </w:t>
      </w:r>
      <w:r>
        <w:rPr>
          <w:rFonts w:ascii="Times New Roman" w:hAnsi="Times New Roman" w:cs="Times New Roman"/>
          <w:sz w:val="24"/>
          <w:szCs w:val="24"/>
        </w:rPr>
        <w:t xml:space="preserve">общегосударственные </w:t>
      </w:r>
      <w:r w:rsidR="00817E8B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6070E">
        <w:rPr>
          <w:rFonts w:ascii="Times New Roman" w:hAnsi="Times New Roman" w:cs="Times New Roman"/>
          <w:sz w:val="24"/>
          <w:szCs w:val="24"/>
        </w:rPr>
        <w:t>34,6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C6070E">
        <w:rPr>
          <w:rFonts w:ascii="Times New Roman" w:hAnsi="Times New Roman" w:cs="Times New Roman"/>
          <w:sz w:val="24"/>
          <w:szCs w:val="24"/>
        </w:rPr>
        <w:t>1247,4</w:t>
      </w:r>
      <w:r>
        <w:rPr>
          <w:rFonts w:ascii="Times New Roman" w:hAnsi="Times New Roman" w:cs="Times New Roman"/>
          <w:sz w:val="24"/>
          <w:szCs w:val="24"/>
        </w:rPr>
        <w:t xml:space="preserve"> тыс. рублей),</w:t>
      </w:r>
      <w:r w:rsidR="00C60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национальную экономику – </w:t>
      </w:r>
      <w:r w:rsidR="00C6070E">
        <w:rPr>
          <w:rFonts w:ascii="Times New Roman" w:hAnsi="Times New Roman" w:cs="Times New Roman"/>
          <w:sz w:val="24"/>
          <w:szCs w:val="24"/>
        </w:rPr>
        <w:t>29,8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C6070E">
        <w:rPr>
          <w:rFonts w:ascii="Times New Roman" w:hAnsi="Times New Roman" w:cs="Times New Roman"/>
          <w:sz w:val="24"/>
          <w:szCs w:val="24"/>
        </w:rPr>
        <w:t>1075,0</w:t>
      </w:r>
      <w:r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C6070E">
        <w:rPr>
          <w:rFonts w:ascii="Times New Roman" w:hAnsi="Times New Roman" w:cs="Times New Roman"/>
          <w:sz w:val="24"/>
          <w:szCs w:val="24"/>
        </w:rPr>
        <w:t>,</w:t>
      </w:r>
      <w:r w:rsidR="00C6070E" w:rsidRPr="00C6070E">
        <w:rPr>
          <w:rFonts w:ascii="Times New Roman" w:hAnsi="Times New Roman" w:cs="Times New Roman"/>
          <w:sz w:val="24"/>
          <w:szCs w:val="24"/>
        </w:rPr>
        <w:t xml:space="preserve"> культуру – 29,2% (1063,5 тыс. рублей)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2FEC" w:rsidRDefault="00D82FEC" w:rsidP="00D82FEC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82FEC" w:rsidRDefault="00D82FEC" w:rsidP="00D82FE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финансирования дефицита бюджета</w:t>
      </w:r>
    </w:p>
    <w:p w:rsidR="00D82FEC" w:rsidRDefault="00D82FEC" w:rsidP="00D82FE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390" w:rsidRPr="002A54C7" w:rsidRDefault="00D82FEC" w:rsidP="0058639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5143">
        <w:rPr>
          <w:rFonts w:ascii="Times New Roman" w:hAnsi="Times New Roman" w:cs="Times New Roman"/>
          <w:sz w:val="24"/>
          <w:szCs w:val="24"/>
        </w:rPr>
        <w:t>Про</w:t>
      </w:r>
      <w:r w:rsidR="00586390">
        <w:rPr>
          <w:rFonts w:ascii="Times New Roman" w:hAnsi="Times New Roman" w:cs="Times New Roman"/>
          <w:sz w:val="24"/>
          <w:szCs w:val="24"/>
        </w:rPr>
        <w:t>фицит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spellStart"/>
      <w:r w:rsidR="000B0B12">
        <w:rPr>
          <w:rFonts w:ascii="Times New Roman" w:hAnsi="Times New Roman" w:cs="Times New Roman"/>
          <w:sz w:val="24"/>
          <w:szCs w:val="24"/>
        </w:rPr>
        <w:t>Санарпосинского</w:t>
      </w:r>
      <w:proofErr w:type="spellEnd"/>
      <w:r w:rsidR="000B0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по состоянию на 01.01.201</w:t>
      </w:r>
      <w:r w:rsidR="00C6070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C6070E">
        <w:rPr>
          <w:rFonts w:ascii="Times New Roman" w:hAnsi="Times New Roman" w:cs="Times New Roman"/>
          <w:sz w:val="24"/>
          <w:szCs w:val="24"/>
        </w:rPr>
        <w:t>249,4</w:t>
      </w:r>
      <w:r w:rsidR="007A514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86390" w:rsidRPr="002A54C7">
        <w:rPr>
          <w:rFonts w:ascii="Times New Roman" w:hAnsi="Times New Roman" w:cs="Times New Roman"/>
          <w:sz w:val="24"/>
          <w:szCs w:val="24"/>
        </w:rPr>
        <w:t>.</w:t>
      </w:r>
    </w:p>
    <w:p w:rsidR="00586390" w:rsidRPr="002A54C7" w:rsidRDefault="00586390" w:rsidP="00586390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82FEC" w:rsidRDefault="00D82FEC" w:rsidP="00D82FE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82FEC" w:rsidRDefault="00D82FEC" w:rsidP="00D82FE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82FEC" w:rsidRDefault="00D82FEC" w:rsidP="00D82FE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D82FEC" w:rsidRDefault="00D82FEC" w:rsidP="00D82FEC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FEC" w:rsidRDefault="00D82FEC" w:rsidP="00D82FE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1.Исполнение бюджета </w:t>
      </w:r>
      <w:proofErr w:type="spellStart"/>
      <w:r w:rsidR="000B0B12">
        <w:rPr>
          <w:rFonts w:ascii="Times New Roman" w:hAnsi="Times New Roman" w:cs="Times New Roman"/>
          <w:sz w:val="24"/>
          <w:szCs w:val="24"/>
        </w:rPr>
        <w:t>Санарпосинского</w:t>
      </w:r>
      <w:proofErr w:type="spellEnd"/>
      <w:r w:rsidR="000B0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в отчетном году осуществлялось в соответствии с требованиями Бюджетного кодекса Российской Федерации» и решением Собрания депутатов </w:t>
      </w:r>
      <w:proofErr w:type="spellStart"/>
      <w:r w:rsidR="000B0B12">
        <w:rPr>
          <w:rFonts w:ascii="Times New Roman" w:hAnsi="Times New Roman" w:cs="Times New Roman"/>
          <w:sz w:val="24"/>
          <w:szCs w:val="24"/>
        </w:rPr>
        <w:t>Санарпосинского</w:t>
      </w:r>
      <w:proofErr w:type="spellEnd"/>
      <w:r w:rsidR="000B0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Вурнарского района Чувашской Республики «О регулировании бюджетных правоотношений в </w:t>
      </w:r>
      <w:proofErr w:type="spellStart"/>
      <w:r w:rsidR="000B0B12">
        <w:rPr>
          <w:rFonts w:ascii="Times New Roman" w:hAnsi="Times New Roman" w:cs="Times New Roman"/>
          <w:sz w:val="24"/>
          <w:szCs w:val="24"/>
        </w:rPr>
        <w:t>Санарпосинском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Вурнарского района Чувашской Республики».</w:t>
      </w:r>
    </w:p>
    <w:p w:rsidR="00D82FEC" w:rsidRDefault="00D82FEC" w:rsidP="00D82FE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Отчет об исполнении бюджета </w:t>
      </w:r>
      <w:proofErr w:type="spellStart"/>
      <w:r w:rsidR="000B0B12">
        <w:rPr>
          <w:rFonts w:ascii="Times New Roman" w:hAnsi="Times New Roman" w:cs="Times New Roman"/>
          <w:sz w:val="24"/>
          <w:szCs w:val="24"/>
        </w:rPr>
        <w:t>Санарпосинского</w:t>
      </w:r>
      <w:proofErr w:type="spellEnd"/>
      <w:r w:rsidR="000B0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за </w:t>
      </w:r>
      <w:r w:rsidR="00146C8D">
        <w:rPr>
          <w:rFonts w:ascii="Times New Roman" w:hAnsi="Times New Roman" w:cs="Times New Roman"/>
          <w:sz w:val="24"/>
          <w:szCs w:val="24"/>
        </w:rPr>
        <w:t>201</w:t>
      </w:r>
      <w:r w:rsidR="00C6070E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 и 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0B0B12">
        <w:rPr>
          <w:rFonts w:ascii="Times New Roman" w:hAnsi="Times New Roman" w:cs="Times New Roman"/>
          <w:sz w:val="24"/>
          <w:szCs w:val="24"/>
        </w:rPr>
        <w:t>Санарпосинского</w:t>
      </w:r>
      <w:proofErr w:type="spellEnd"/>
      <w:r w:rsidR="000B0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в установленном  порядке.</w:t>
      </w:r>
    </w:p>
    <w:p w:rsidR="00D82FEC" w:rsidRDefault="00D82FEC" w:rsidP="00D82FE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82FEC" w:rsidRDefault="00D82FEC" w:rsidP="00D82FEC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82FEC" w:rsidRDefault="00D82FEC" w:rsidP="00D82FE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Контрольно-счетного</w:t>
      </w:r>
      <w:proofErr w:type="gramEnd"/>
    </w:p>
    <w:p w:rsidR="00D82FEC" w:rsidRDefault="00D82FEC" w:rsidP="00D82FEC">
      <w:pPr>
        <w:spacing w:after="0"/>
        <w:ind w:left="-709" w:firstLine="142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органа Вурнарского района                                                                          </w:t>
      </w:r>
      <w:r w:rsidR="00E05A5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E05A5B">
        <w:rPr>
          <w:rFonts w:ascii="Times New Roman" w:hAnsi="Times New Roman" w:cs="Times New Roman"/>
          <w:sz w:val="24"/>
          <w:szCs w:val="24"/>
        </w:rPr>
        <w:t>В.П.Ефимова</w:t>
      </w:r>
      <w:proofErr w:type="spellEnd"/>
    </w:p>
    <w:p w:rsidR="00D82FEC" w:rsidRDefault="00D82FEC" w:rsidP="00D82F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FEC" w:rsidRDefault="00D82FEC" w:rsidP="00D82FEC">
      <w:pPr>
        <w:rPr>
          <w:rFonts w:ascii="Times New Roman" w:hAnsi="Times New Roman" w:cs="Times New Roman"/>
          <w:sz w:val="24"/>
          <w:szCs w:val="24"/>
        </w:rPr>
      </w:pPr>
    </w:p>
    <w:p w:rsidR="00D82FEC" w:rsidRDefault="00D82FEC" w:rsidP="00D82FEC">
      <w:pPr>
        <w:rPr>
          <w:rFonts w:ascii="Times New Roman" w:hAnsi="Times New Roman" w:cs="Times New Roman"/>
          <w:sz w:val="24"/>
          <w:szCs w:val="24"/>
        </w:rPr>
      </w:pPr>
    </w:p>
    <w:p w:rsidR="00D82FEC" w:rsidRDefault="00D82FEC" w:rsidP="00D82FEC">
      <w:pPr>
        <w:rPr>
          <w:rFonts w:ascii="Times New Roman" w:hAnsi="Times New Roman" w:cs="Times New Roman"/>
          <w:sz w:val="24"/>
          <w:szCs w:val="24"/>
        </w:rPr>
      </w:pPr>
    </w:p>
    <w:p w:rsidR="005D45E7" w:rsidRPr="00456CD3" w:rsidRDefault="005D45E7">
      <w:pPr>
        <w:rPr>
          <w:rFonts w:ascii="Times New Roman" w:hAnsi="Times New Roman" w:cs="Times New Roman"/>
          <w:sz w:val="24"/>
          <w:szCs w:val="24"/>
        </w:rPr>
      </w:pPr>
    </w:p>
    <w:sectPr w:rsidR="005D45E7" w:rsidRPr="0045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D3"/>
    <w:rsid w:val="00061AC8"/>
    <w:rsid w:val="000B0B12"/>
    <w:rsid w:val="00125C89"/>
    <w:rsid w:val="00146C8D"/>
    <w:rsid w:val="001B1C37"/>
    <w:rsid w:val="001D764A"/>
    <w:rsid w:val="00215691"/>
    <w:rsid w:val="0021671E"/>
    <w:rsid w:val="00255825"/>
    <w:rsid w:val="002730DD"/>
    <w:rsid w:val="002B6B68"/>
    <w:rsid w:val="002F4949"/>
    <w:rsid w:val="00316405"/>
    <w:rsid w:val="00335CFB"/>
    <w:rsid w:val="003B51F0"/>
    <w:rsid w:val="003F1288"/>
    <w:rsid w:val="00443697"/>
    <w:rsid w:val="00456CD3"/>
    <w:rsid w:val="00491CC6"/>
    <w:rsid w:val="00525074"/>
    <w:rsid w:val="00550C5A"/>
    <w:rsid w:val="00576BD4"/>
    <w:rsid w:val="00586390"/>
    <w:rsid w:val="00595D04"/>
    <w:rsid w:val="005A189A"/>
    <w:rsid w:val="005D45E7"/>
    <w:rsid w:val="00676F2E"/>
    <w:rsid w:val="006F1E7D"/>
    <w:rsid w:val="007305FD"/>
    <w:rsid w:val="00776E9E"/>
    <w:rsid w:val="00777267"/>
    <w:rsid w:val="007A1480"/>
    <w:rsid w:val="007A5143"/>
    <w:rsid w:val="007A781D"/>
    <w:rsid w:val="007B6C6B"/>
    <w:rsid w:val="007C07C5"/>
    <w:rsid w:val="00817E8B"/>
    <w:rsid w:val="00835F1C"/>
    <w:rsid w:val="008A5506"/>
    <w:rsid w:val="00965205"/>
    <w:rsid w:val="00A578C4"/>
    <w:rsid w:val="00AB1CBD"/>
    <w:rsid w:val="00AE4715"/>
    <w:rsid w:val="00B14AD2"/>
    <w:rsid w:val="00B546FA"/>
    <w:rsid w:val="00BB75D0"/>
    <w:rsid w:val="00BC0C33"/>
    <w:rsid w:val="00BD55A9"/>
    <w:rsid w:val="00BE5063"/>
    <w:rsid w:val="00C21D0D"/>
    <w:rsid w:val="00C24300"/>
    <w:rsid w:val="00C6070E"/>
    <w:rsid w:val="00C60873"/>
    <w:rsid w:val="00C955E6"/>
    <w:rsid w:val="00CA35C6"/>
    <w:rsid w:val="00D33804"/>
    <w:rsid w:val="00D71544"/>
    <w:rsid w:val="00D82FEC"/>
    <w:rsid w:val="00D90055"/>
    <w:rsid w:val="00D9507C"/>
    <w:rsid w:val="00DE7394"/>
    <w:rsid w:val="00E05A5B"/>
    <w:rsid w:val="00E413D0"/>
    <w:rsid w:val="00E9779B"/>
    <w:rsid w:val="00F05D22"/>
    <w:rsid w:val="00F05FA5"/>
    <w:rsid w:val="00F20B75"/>
    <w:rsid w:val="00F51A35"/>
    <w:rsid w:val="00FA6D1A"/>
    <w:rsid w:val="00FB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kco1</dc:creator>
  <cp:lastModifiedBy>Светлана Шашкарова</cp:lastModifiedBy>
  <cp:revision>55</cp:revision>
  <dcterms:created xsi:type="dcterms:W3CDTF">2017-03-30T13:31:00Z</dcterms:created>
  <dcterms:modified xsi:type="dcterms:W3CDTF">2019-04-16T06:55:00Z</dcterms:modified>
</cp:coreProperties>
</file>