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98" w:rsidRPr="009B5698" w:rsidRDefault="009B5698" w:rsidP="009B5698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B5698">
        <w:rPr>
          <w:rFonts w:ascii="Times New Roman" w:hAnsi="Times New Roman" w:cs="Times New Roman"/>
          <w:b w:val="0"/>
          <w:sz w:val="26"/>
          <w:szCs w:val="26"/>
        </w:rPr>
        <w:t>Приложение №2</w:t>
      </w:r>
    </w:p>
    <w:p w:rsidR="009B5698" w:rsidRPr="009B5698" w:rsidRDefault="009B5698" w:rsidP="009B5698">
      <w:pPr>
        <w:jc w:val="right"/>
        <w:rPr>
          <w:sz w:val="26"/>
          <w:szCs w:val="26"/>
        </w:rPr>
      </w:pPr>
      <w:r w:rsidRPr="009B5698">
        <w:rPr>
          <w:sz w:val="26"/>
          <w:szCs w:val="26"/>
        </w:rPr>
        <w:t xml:space="preserve">к Учетной политике финансового отдела </w:t>
      </w:r>
    </w:p>
    <w:p w:rsidR="009B5698" w:rsidRPr="009B5698" w:rsidRDefault="009B5698" w:rsidP="009B5698">
      <w:pPr>
        <w:jc w:val="right"/>
        <w:rPr>
          <w:sz w:val="26"/>
          <w:szCs w:val="26"/>
        </w:rPr>
      </w:pPr>
      <w:r w:rsidRPr="009B5698">
        <w:rPr>
          <w:sz w:val="26"/>
          <w:szCs w:val="26"/>
        </w:rPr>
        <w:t xml:space="preserve">Ядринской районной администрации </w:t>
      </w:r>
    </w:p>
    <w:p w:rsidR="009B5698" w:rsidRPr="009B5698" w:rsidRDefault="009B5698" w:rsidP="009B5698">
      <w:pPr>
        <w:pStyle w:val="1"/>
        <w:spacing w:before="0" w:beforeAutospacing="0" w:after="0" w:afterAutospacing="0"/>
        <w:rPr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</w:t>
      </w:r>
      <w:r w:rsidRPr="009B5698">
        <w:rPr>
          <w:rFonts w:ascii="Times New Roman" w:hAnsi="Times New Roman" w:cs="Times New Roman"/>
          <w:b w:val="0"/>
          <w:sz w:val="26"/>
          <w:szCs w:val="26"/>
        </w:rPr>
        <w:t>Чувашской Республики</w:t>
      </w:r>
    </w:p>
    <w:p w:rsidR="009B5698" w:rsidRDefault="009B5698" w:rsidP="009B5698">
      <w:pPr>
        <w:pStyle w:val="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9B5698" w:rsidRDefault="0049082D" w:rsidP="009B5698">
      <w:pPr>
        <w:pStyle w:val="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Положение о Комиссии по поступлению и выбытию активов</w:t>
      </w:r>
      <w:r w:rsidR="009B56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698" w:rsidRDefault="009B5698" w:rsidP="009B5698">
      <w:pPr>
        <w:pStyle w:val="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Ядринской районной администрации </w:t>
      </w:r>
    </w:p>
    <w:p w:rsidR="0049082D" w:rsidRPr="009B5698" w:rsidRDefault="009B5698" w:rsidP="009B5698">
      <w:pPr>
        <w:pStyle w:val="1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B5698" w:rsidRDefault="009B5698" w:rsidP="009B5698">
      <w:pPr>
        <w:pStyle w:val="2"/>
        <w:spacing w:before="0" w:beforeAutospacing="0" w:after="0" w:afterAutospacing="0"/>
        <w:rPr>
          <w:rStyle w:val="enumerated"/>
          <w:rFonts w:ascii="Times New Roman" w:hAnsi="Times New Roman"/>
          <w:i w:val="0"/>
          <w:sz w:val="26"/>
          <w:szCs w:val="26"/>
        </w:rPr>
      </w:pPr>
    </w:p>
    <w:p w:rsidR="0049082D" w:rsidRPr="009B5698" w:rsidRDefault="0049082D" w:rsidP="009B5698">
      <w:pPr>
        <w:pStyle w:val="2"/>
        <w:spacing w:before="0" w:beforeAutospacing="0" w:after="0" w:afterAutospacing="0"/>
        <w:rPr>
          <w:rFonts w:ascii="Times New Roman" w:hAnsi="Times New Roman" w:cs="Times New Roman"/>
          <w:i w:val="0"/>
          <w:sz w:val="26"/>
          <w:szCs w:val="26"/>
        </w:rPr>
      </w:pPr>
      <w:r w:rsidRPr="009B5698">
        <w:rPr>
          <w:rStyle w:val="enumerated"/>
          <w:rFonts w:ascii="Times New Roman" w:hAnsi="Times New Roman"/>
          <w:i w:val="0"/>
          <w:sz w:val="26"/>
          <w:szCs w:val="26"/>
        </w:rPr>
        <w:t>1.</w:t>
      </w:r>
      <w:r w:rsidRPr="009B5698">
        <w:rPr>
          <w:rFonts w:ascii="Times New Roman" w:hAnsi="Times New Roman" w:cs="Times New Roman"/>
          <w:i w:val="0"/>
          <w:sz w:val="26"/>
          <w:szCs w:val="26"/>
        </w:rPr>
        <w:t xml:space="preserve"> Общие положения</w:t>
      </w:r>
    </w:p>
    <w:p w:rsidR="009B5698" w:rsidRPr="009B5698" w:rsidRDefault="0049082D" w:rsidP="009B5698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5698">
        <w:rPr>
          <w:rStyle w:val="enumerated"/>
          <w:rFonts w:ascii="Times New Roman" w:hAnsi="Times New Roman"/>
          <w:b w:val="0"/>
          <w:sz w:val="26"/>
          <w:szCs w:val="26"/>
        </w:rPr>
        <w:t>1.1.</w:t>
      </w:r>
      <w:r w:rsidRPr="009B5698">
        <w:rPr>
          <w:rFonts w:ascii="Times New Roman" w:hAnsi="Times New Roman" w:cs="Times New Roman"/>
          <w:b w:val="0"/>
          <w:sz w:val="26"/>
          <w:szCs w:val="26"/>
        </w:rPr>
        <w:t xml:space="preserve"> Настоящее Положение</w:t>
      </w:r>
      <w:r w:rsidR="009B5698" w:rsidRPr="009B5698">
        <w:rPr>
          <w:rFonts w:ascii="Times New Roman" w:hAnsi="Times New Roman" w:cs="Times New Roman"/>
          <w:b w:val="0"/>
          <w:sz w:val="26"/>
          <w:szCs w:val="26"/>
        </w:rPr>
        <w:t xml:space="preserve"> о Комиссии по поступлению и выбытию активов финансового отдела Ядринской районной администрации Чувашской Республики</w:t>
      </w:r>
      <w:r w:rsidR="009B5698">
        <w:rPr>
          <w:rFonts w:ascii="Times New Roman" w:hAnsi="Times New Roman" w:cs="Times New Roman"/>
          <w:b w:val="0"/>
          <w:sz w:val="26"/>
          <w:szCs w:val="26"/>
        </w:rPr>
        <w:t xml:space="preserve"> (далее – Положение и Комиссия)</w:t>
      </w:r>
      <w:r w:rsidR="009B5698" w:rsidRPr="009B56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5698">
        <w:rPr>
          <w:rFonts w:ascii="Times New Roman" w:hAnsi="Times New Roman" w:cs="Times New Roman"/>
          <w:b w:val="0"/>
          <w:sz w:val="26"/>
          <w:szCs w:val="26"/>
        </w:rPr>
        <w:t xml:space="preserve"> разработано в соответствии</w:t>
      </w:r>
      <w:r w:rsidR="009B5698" w:rsidRPr="009B56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9B5698" w:rsidRPr="009B5698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="009B5698" w:rsidRPr="009B56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федеральными стандартами бухгалтерского учета для организаций государственного сектора</w:t>
      </w:r>
      <w:r w:rsidR="009B5698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anchor="/document/71586636/entry/100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"Концептуальные основы бухгалтерского учета и отчетности организаций государственного сектора"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anchor="/document/71589050/entry/100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"Основные средства"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anchor="/document/71588992/entry/100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"Аренда"</w:t>
        </w:r>
      </w:hyperlink>
      <w:r w:rsidRPr="009B5698">
        <w:rPr>
          <w:rFonts w:ascii="Times New Roman" w:hAnsi="Times New Roman" w:cs="Times New Roman"/>
          <w:sz w:val="26"/>
          <w:szCs w:val="26"/>
        </w:rPr>
        <w:t>,</w:t>
      </w:r>
      <w:r w:rsidR="009B569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anchor="/document/71586638/entry/100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"Обесценение активов"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утвержденными приказами Минфина России </w:t>
      </w:r>
      <w:hyperlink r:id="rId9" w:anchor="/document/71586636/entry/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 xml:space="preserve">от 31.12.2016 </w:t>
        </w:r>
        <w:r w:rsidR="009B5698">
          <w:rPr>
            <w:rStyle w:val="a3"/>
            <w:rFonts w:ascii="Times New Roman" w:hAnsi="Times New Roman"/>
            <w:sz w:val="26"/>
            <w:szCs w:val="26"/>
          </w:rPr>
          <w:t>№</w:t>
        </w:r>
        <w:r w:rsidRPr="009B5698">
          <w:rPr>
            <w:rStyle w:val="a3"/>
            <w:rFonts w:ascii="Times New Roman" w:hAnsi="Times New Roman"/>
            <w:sz w:val="26"/>
            <w:szCs w:val="26"/>
          </w:rPr>
          <w:t xml:space="preserve"> 256н</w:t>
        </w:r>
      </w:hyperlink>
      <w:r w:rsidRPr="009B5698">
        <w:rPr>
          <w:rFonts w:ascii="Times New Roman" w:hAnsi="Times New Roman" w:cs="Times New Roman"/>
          <w:sz w:val="26"/>
          <w:szCs w:val="26"/>
        </w:rPr>
        <w:t>,</w:t>
      </w:r>
      <w:r w:rsidR="009B5698">
        <w:rPr>
          <w:rFonts w:ascii="Times New Roman" w:hAnsi="Times New Roman" w:cs="Times New Roman"/>
          <w:sz w:val="26"/>
          <w:szCs w:val="26"/>
        </w:rPr>
        <w:t xml:space="preserve"> № </w:t>
      </w:r>
      <w:hyperlink r:id="rId10" w:anchor="/document/71589050/entry/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 xml:space="preserve"> 257н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anchor="/document/71588992/entry/0" w:tgtFrame="_blank" w:tooltip="Открыть документ в системе Гарант" w:history="1">
        <w:r w:rsidR="009B5698">
          <w:rPr>
            <w:rStyle w:val="a3"/>
            <w:rFonts w:ascii="Times New Roman" w:hAnsi="Times New Roman"/>
            <w:sz w:val="26"/>
            <w:szCs w:val="26"/>
          </w:rPr>
          <w:t>№</w:t>
        </w:r>
        <w:r w:rsidRPr="009B5698">
          <w:rPr>
            <w:rStyle w:val="a3"/>
            <w:rFonts w:ascii="Times New Roman" w:hAnsi="Times New Roman"/>
            <w:sz w:val="26"/>
            <w:szCs w:val="26"/>
          </w:rPr>
          <w:t xml:space="preserve"> 258н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anchor="/document/71586638/entry/0" w:tgtFrame="_blank" w:tooltip="Открыть документ в системе Гарант" w:history="1">
        <w:r w:rsidR="009B5698">
          <w:rPr>
            <w:rStyle w:val="a3"/>
            <w:rFonts w:ascii="Times New Roman" w:hAnsi="Times New Roman"/>
            <w:sz w:val="26"/>
            <w:szCs w:val="26"/>
          </w:rPr>
          <w:t>№</w:t>
        </w:r>
        <w:r w:rsidRPr="009B5698">
          <w:rPr>
            <w:rStyle w:val="a3"/>
            <w:rFonts w:ascii="Times New Roman" w:hAnsi="Times New Roman"/>
            <w:sz w:val="26"/>
            <w:szCs w:val="26"/>
          </w:rPr>
          <w:t xml:space="preserve"> 259н</w:t>
        </w:r>
      </w:hyperlink>
      <w:r w:rsidRPr="009B5698">
        <w:rPr>
          <w:rFonts w:ascii="Times New Roman" w:hAnsi="Times New Roman" w:cs="Times New Roman"/>
          <w:sz w:val="26"/>
          <w:szCs w:val="26"/>
        </w:rPr>
        <w:t>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B5698">
        <w:rPr>
          <w:rFonts w:ascii="Times New Roman" w:hAnsi="Times New Roman" w:cs="Times New Roman"/>
          <w:sz w:val="26"/>
          <w:szCs w:val="26"/>
        </w:rPr>
        <w:t xml:space="preserve">приказами Минфина России </w:t>
      </w:r>
      <w:hyperlink r:id="rId13" w:anchor="/document/12180849/entry/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от 01.12.2010 N 157н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14" w:anchor="/document/12180897/entry/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от 06.12.2010 N 162н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"Об утверждении Плана счетов бюджетного учета и Инструкции по его применению (далее — Инструкция N 162н);</w:t>
      </w:r>
      <w:proofErr w:type="gramEnd"/>
    </w:p>
    <w:p w:rsidR="0049082D" w:rsidRPr="009B5698" w:rsidRDefault="00B32DDF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hyperlink r:id="rId15" w:anchor="/document/70951956/entry/0" w:tgtFrame="_blank" w:tooltip="Открыть документ в системе Гарант" w:history="1">
        <w:r w:rsidR="009B5698">
          <w:rPr>
            <w:rStyle w:val="a3"/>
            <w:rFonts w:ascii="Times New Roman" w:hAnsi="Times New Roman"/>
            <w:sz w:val="26"/>
            <w:szCs w:val="26"/>
          </w:rPr>
          <w:t>п</w:t>
        </w:r>
        <w:r w:rsidR="0049082D" w:rsidRPr="009B5698">
          <w:rPr>
            <w:rStyle w:val="a3"/>
            <w:rFonts w:ascii="Times New Roman" w:hAnsi="Times New Roman"/>
            <w:sz w:val="26"/>
            <w:szCs w:val="26"/>
          </w:rPr>
          <w:t>риказом</w:t>
        </w:r>
      </w:hyperlink>
      <w:r w:rsidR="0049082D" w:rsidRPr="009B5698">
        <w:rPr>
          <w:rFonts w:ascii="Times New Roman" w:hAnsi="Times New Roman" w:cs="Times New Roman"/>
          <w:sz w:val="26"/>
          <w:szCs w:val="26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49082D" w:rsidRPr="009B5698" w:rsidRDefault="00B32DDF" w:rsidP="009B5698">
      <w:pPr>
        <w:pStyle w:val="a5"/>
        <w:spacing w:before="0" w:beforeAutospacing="0" w:after="0" w:afterAutospacing="0"/>
        <w:ind w:firstLine="709"/>
        <w:divId w:val="206575667"/>
        <w:rPr>
          <w:rFonts w:ascii="Times New Roman" w:hAnsi="Times New Roman" w:cs="Times New Roman"/>
          <w:sz w:val="26"/>
          <w:szCs w:val="26"/>
        </w:rPr>
      </w:pPr>
      <w:hyperlink r:id="rId16" w:anchor="/document/10103513/entry/1000" w:tgtFrame="_blank" w:tooltip="Открыть документ в системе Гарант" w:history="1">
        <w:r w:rsidR="0049082D" w:rsidRPr="009B5698">
          <w:rPr>
            <w:rStyle w:val="a3"/>
            <w:rFonts w:ascii="Times New Roman" w:hAnsi="Times New Roman"/>
            <w:sz w:val="26"/>
            <w:szCs w:val="26"/>
          </w:rPr>
          <w:t>Методическими указаниями</w:t>
        </w:r>
      </w:hyperlink>
      <w:r w:rsidR="0049082D" w:rsidRPr="009B5698">
        <w:rPr>
          <w:rFonts w:ascii="Times New Roman" w:hAnsi="Times New Roman" w:cs="Times New Roman"/>
          <w:sz w:val="26"/>
          <w:szCs w:val="26"/>
        </w:rPr>
        <w:t xml:space="preserve"> по проведению инвентаризации имущества и финансовых обязательств, утвержденных </w:t>
      </w:r>
      <w:hyperlink r:id="rId17" w:anchor="/document/10103513/entry/0" w:tgtFrame="_blank" w:tooltip="Открыть документ в системе Гарант" w:history="1">
        <w:r w:rsidR="0049082D" w:rsidRPr="009B5698">
          <w:rPr>
            <w:rStyle w:val="a3"/>
            <w:rFonts w:ascii="Times New Roman" w:hAnsi="Times New Roman"/>
            <w:sz w:val="26"/>
            <w:szCs w:val="26"/>
          </w:rPr>
          <w:t>приказом</w:t>
        </w:r>
      </w:hyperlink>
      <w:r w:rsidR="0049082D" w:rsidRPr="009B5698">
        <w:rPr>
          <w:rFonts w:ascii="Times New Roman" w:hAnsi="Times New Roman" w:cs="Times New Roman"/>
          <w:sz w:val="26"/>
          <w:szCs w:val="26"/>
        </w:rPr>
        <w:t xml:space="preserve"> Минфина РФ от 13.06.1995 N 49.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1.2.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Персональный состав </w:t>
      </w:r>
      <w:r w:rsidR="009B5698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 xml:space="preserve">омиссии утверждается отдельным приказом </w:t>
      </w:r>
      <w:r w:rsidR="009B5698">
        <w:rPr>
          <w:rFonts w:ascii="Times New Roman" w:hAnsi="Times New Roman" w:cs="Times New Roman"/>
          <w:sz w:val="26"/>
          <w:szCs w:val="26"/>
        </w:rPr>
        <w:t>финансового отдела Ядринской районной администрации Чувашской Республики</w:t>
      </w:r>
      <w:r w:rsidRPr="009B5698">
        <w:rPr>
          <w:rFonts w:ascii="Times New Roman" w:hAnsi="Times New Roman" w:cs="Times New Roman"/>
          <w:sz w:val="26"/>
          <w:szCs w:val="26"/>
        </w:rPr>
        <w:t>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1.3.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1.4.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Комиссия проводит заседания по мере необходимости</w:t>
      </w:r>
      <w:r w:rsidR="009B5698">
        <w:rPr>
          <w:rFonts w:ascii="Times New Roman" w:hAnsi="Times New Roman" w:cs="Times New Roman"/>
          <w:sz w:val="26"/>
          <w:szCs w:val="26"/>
        </w:rPr>
        <w:t>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divId w:val="206575666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1.5.</w:t>
      </w:r>
      <w:r w:rsidRPr="009B5698">
        <w:rPr>
          <w:rFonts w:ascii="Times New Roman" w:hAnsi="Times New Roman" w:cs="Times New Roman"/>
          <w:sz w:val="26"/>
          <w:szCs w:val="26"/>
        </w:rPr>
        <w:t xml:space="preserve"> Срок рассмотрения Комиссией представленных ей документов не должен превышать 14 дней.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divId w:val="206575663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1.6.</w:t>
      </w:r>
      <w:r w:rsidRPr="009B5698">
        <w:rPr>
          <w:rFonts w:ascii="Times New Roman" w:hAnsi="Times New Roman" w:cs="Times New Roman"/>
          <w:sz w:val="26"/>
          <w:szCs w:val="26"/>
        </w:rPr>
        <w:t xml:space="preserve"> Решения Комиссии считаются правомочными, если на ее заседании присутствует не менее двух третей от общего числа ее членов.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divId w:val="206575665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1.7.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Комиссия принимает решения по вопросам поступления и выбытия нефинансовых активов.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divId w:val="206575665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lastRenderedPageBreak/>
        <w:t xml:space="preserve">К полномочиям </w:t>
      </w:r>
      <w:r w:rsidR="009B5698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 xml:space="preserve">омиссии также относится проведение плановых и внеплановых инвентаризаций имущества и обязательств,  согласно Положению об инвентаризации (Приложение </w:t>
      </w:r>
      <w:r w:rsidR="009B5698">
        <w:rPr>
          <w:rFonts w:ascii="Times New Roman" w:hAnsi="Times New Roman" w:cs="Times New Roman"/>
          <w:sz w:val="26"/>
          <w:szCs w:val="26"/>
        </w:rPr>
        <w:t>№</w:t>
      </w:r>
      <w:r w:rsidRPr="009B5698">
        <w:rPr>
          <w:rFonts w:ascii="Times New Roman" w:hAnsi="Times New Roman" w:cs="Times New Roman"/>
          <w:sz w:val="26"/>
          <w:szCs w:val="26"/>
        </w:rPr>
        <w:t xml:space="preserve"> </w:t>
      </w:r>
      <w:r w:rsidRPr="009B5698">
        <w:rPr>
          <w:rStyle w:val="printable"/>
          <w:rFonts w:ascii="Times New Roman" w:hAnsi="Times New Roman"/>
          <w:sz w:val="26"/>
          <w:szCs w:val="26"/>
        </w:rPr>
        <w:t>7</w:t>
      </w:r>
      <w:r w:rsidRPr="009B5698">
        <w:rPr>
          <w:rFonts w:ascii="Times New Roman" w:hAnsi="Times New Roman" w:cs="Times New Roman"/>
          <w:sz w:val="26"/>
          <w:szCs w:val="26"/>
        </w:rPr>
        <w:t xml:space="preserve"> к Учетной политике).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1.8.</w:t>
      </w:r>
      <w:r w:rsidRPr="009B5698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9B5698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 xml:space="preserve">омиссии оформляется </w:t>
      </w:r>
      <w:hyperlink r:id="rId18" w:anchor="/document/58070031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протоколом</w:t>
        </w:r>
      </w:hyperlink>
      <w:r w:rsidRPr="009B5698">
        <w:rPr>
          <w:rFonts w:ascii="Times New Roman" w:hAnsi="Times New Roman" w:cs="Times New Roman"/>
          <w:sz w:val="26"/>
          <w:szCs w:val="26"/>
        </w:rPr>
        <w:t>. Протокол подписывают председатель и члены комиссии, присутствовавшие на заседании. Также Комиссия оформляет соответствующие акты о поступлении и выбытии нефинансовых активов.</w:t>
      </w:r>
    </w:p>
    <w:p w:rsidR="0049082D" w:rsidRDefault="0049082D" w:rsidP="009B5698">
      <w:pPr>
        <w:pStyle w:val="a5"/>
        <w:spacing w:before="0" w:beforeAutospacing="0" w:after="0" w:afterAutospacing="0"/>
        <w:ind w:firstLine="709"/>
        <w:divId w:val="206575662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1.9.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Оформленные в установленном порядке </w:t>
      </w:r>
      <w:r w:rsidRPr="00B32DDF">
        <w:rPr>
          <w:rFonts w:ascii="Times New Roman" w:hAnsi="Times New Roman" w:cs="Times New Roman"/>
          <w:sz w:val="26"/>
          <w:szCs w:val="26"/>
        </w:rPr>
        <w:t>документы (</w:t>
      </w:r>
      <w:proofErr w:type="spellStart"/>
      <w:r w:rsidRPr="00B32DDF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B32DDF">
        <w:rPr>
          <w:rFonts w:ascii="Times New Roman" w:hAnsi="Times New Roman" w:cs="Times New Roman"/>
          <w:sz w:val="26"/>
          <w:szCs w:val="26"/>
        </w:rPr>
        <w:t xml:space="preserve">. 1.9, 2.6, </w:t>
      </w:r>
      <w:r w:rsidR="00B32DDF" w:rsidRPr="00B32DDF">
        <w:rPr>
          <w:rFonts w:ascii="Times New Roman" w:hAnsi="Times New Roman" w:cs="Times New Roman"/>
          <w:sz w:val="26"/>
          <w:szCs w:val="26"/>
        </w:rPr>
        <w:t xml:space="preserve">3.3 </w:t>
      </w:r>
      <w:r w:rsidRPr="00B32DDF">
        <w:rPr>
          <w:rFonts w:ascii="Times New Roman" w:hAnsi="Times New Roman" w:cs="Times New Roman"/>
          <w:sz w:val="26"/>
          <w:szCs w:val="26"/>
        </w:rPr>
        <w:t xml:space="preserve">настоящего Положения), необходимые для согласования </w:t>
      </w:r>
      <w:r w:rsidR="00D62A55" w:rsidRPr="00B32DDF">
        <w:rPr>
          <w:rFonts w:ascii="Times New Roman" w:hAnsi="Times New Roman" w:cs="Times New Roman"/>
          <w:sz w:val="26"/>
          <w:szCs w:val="26"/>
        </w:rPr>
        <w:t>Р</w:t>
      </w:r>
      <w:r w:rsidRPr="00B32DDF">
        <w:rPr>
          <w:rFonts w:ascii="Times New Roman" w:hAnsi="Times New Roman" w:cs="Times New Roman"/>
          <w:sz w:val="26"/>
          <w:szCs w:val="26"/>
        </w:rPr>
        <w:t>ешени</w:t>
      </w:r>
      <w:r w:rsidR="00D62A55" w:rsidRPr="00B32DDF">
        <w:rPr>
          <w:rFonts w:ascii="Times New Roman" w:hAnsi="Times New Roman" w:cs="Times New Roman"/>
          <w:sz w:val="26"/>
          <w:szCs w:val="26"/>
        </w:rPr>
        <w:t>е</w:t>
      </w:r>
      <w:r w:rsidRPr="00B32DDF">
        <w:rPr>
          <w:rFonts w:ascii="Times New Roman" w:hAnsi="Times New Roman" w:cs="Times New Roman"/>
          <w:sz w:val="26"/>
          <w:szCs w:val="26"/>
        </w:rPr>
        <w:t xml:space="preserve"> о списании имущества, Комиссия передает для целей бухгалтерского учета</w:t>
      </w:r>
      <w:bookmarkStart w:id="0" w:name="_GoBack"/>
      <w:bookmarkEnd w:id="0"/>
      <w:r w:rsidRPr="009B5698">
        <w:rPr>
          <w:rFonts w:ascii="Times New Roman" w:hAnsi="Times New Roman" w:cs="Times New Roman"/>
          <w:sz w:val="26"/>
          <w:szCs w:val="26"/>
        </w:rPr>
        <w:t xml:space="preserve"> в</w:t>
      </w:r>
      <w:r w:rsidR="009B5698">
        <w:rPr>
          <w:rFonts w:ascii="Times New Roman" w:hAnsi="Times New Roman" w:cs="Times New Roman"/>
          <w:sz w:val="26"/>
          <w:szCs w:val="26"/>
        </w:rPr>
        <w:t xml:space="preserve"> сектор </w:t>
      </w:r>
      <w:r w:rsidRPr="009B5698">
        <w:rPr>
          <w:rFonts w:ascii="Times New Roman" w:hAnsi="Times New Roman" w:cs="Times New Roman"/>
          <w:sz w:val="26"/>
          <w:szCs w:val="26"/>
        </w:rPr>
        <w:t>бухгалтерск</w:t>
      </w:r>
      <w:r w:rsidR="009B5698">
        <w:rPr>
          <w:rFonts w:ascii="Times New Roman" w:hAnsi="Times New Roman" w:cs="Times New Roman"/>
          <w:sz w:val="26"/>
          <w:szCs w:val="26"/>
        </w:rPr>
        <w:t>ого учета и отчетности финансового отдела Ядринской районной администрации Чувашской Республики</w:t>
      </w:r>
      <w:r w:rsidRPr="009B5698">
        <w:rPr>
          <w:rFonts w:ascii="Times New Roman" w:hAnsi="Times New Roman" w:cs="Times New Roman"/>
          <w:sz w:val="26"/>
          <w:szCs w:val="26"/>
        </w:rPr>
        <w:t>.</w:t>
      </w:r>
    </w:p>
    <w:p w:rsidR="009B5698" w:rsidRPr="009B5698" w:rsidRDefault="009B5698" w:rsidP="009B5698">
      <w:pPr>
        <w:pStyle w:val="a5"/>
        <w:spacing w:before="0" w:beforeAutospacing="0" w:after="0" w:afterAutospacing="0"/>
        <w:ind w:firstLine="709"/>
        <w:divId w:val="206575662"/>
        <w:rPr>
          <w:rFonts w:ascii="Times New Roman" w:hAnsi="Times New Roman" w:cs="Times New Roman"/>
          <w:sz w:val="26"/>
          <w:szCs w:val="26"/>
        </w:rPr>
      </w:pPr>
    </w:p>
    <w:p w:rsidR="0049082D" w:rsidRPr="009B5698" w:rsidRDefault="0049082D" w:rsidP="009B5698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i w:val="0"/>
          <w:sz w:val="26"/>
          <w:szCs w:val="26"/>
        </w:rPr>
      </w:pPr>
      <w:r w:rsidRPr="009B5698">
        <w:rPr>
          <w:rStyle w:val="enumerated"/>
          <w:rFonts w:ascii="Times New Roman" w:hAnsi="Times New Roman"/>
          <w:i w:val="0"/>
          <w:sz w:val="26"/>
          <w:szCs w:val="26"/>
        </w:rPr>
        <w:t>2.</w:t>
      </w:r>
      <w:r w:rsidRPr="009B5698">
        <w:rPr>
          <w:rFonts w:ascii="Times New Roman" w:hAnsi="Times New Roman" w:cs="Times New Roman"/>
          <w:i w:val="0"/>
          <w:sz w:val="26"/>
          <w:szCs w:val="26"/>
        </w:rPr>
        <w:t xml:space="preserve"> Принятие решений при поступлении нефинансовых активов и в ходе их эксплуатации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2.1.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Комиссия принимает решения по следующим вопросам: 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- выявление при приемке нефинансовых активов товаров ненадлежащего качества;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- определение категории поступающего имущества (основные средства, нематериальные активы или материальные запасы);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- определение срока полезного использования поступающих в </w:t>
      </w:r>
      <w:r w:rsidR="00D62A55">
        <w:rPr>
          <w:rFonts w:ascii="Times New Roman" w:hAnsi="Times New Roman" w:cs="Times New Roman"/>
          <w:sz w:val="26"/>
          <w:szCs w:val="26"/>
        </w:rPr>
        <w:t>финансовый отдел Ядринской районной администрации Чувашской Республики (далее – финансовый отдел)</w:t>
      </w:r>
      <w:r w:rsidRPr="009B5698">
        <w:rPr>
          <w:rFonts w:ascii="Times New Roman" w:hAnsi="Times New Roman" w:cs="Times New Roman"/>
          <w:sz w:val="26"/>
          <w:szCs w:val="26"/>
        </w:rPr>
        <w:t xml:space="preserve"> основных средств и нематериальных активов в целях принятия к учету и начисления амортизации;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- определение первоначальной (фактической) стоимости поступающих в </w:t>
      </w:r>
      <w:r w:rsidR="00D62A55">
        <w:rPr>
          <w:rFonts w:ascii="Times New Roman" w:hAnsi="Times New Roman" w:cs="Times New Roman"/>
          <w:sz w:val="26"/>
          <w:szCs w:val="26"/>
        </w:rPr>
        <w:t>финансовый отдел</w:t>
      </w:r>
      <w:r w:rsidRPr="009B5698">
        <w:rPr>
          <w:rFonts w:ascii="Times New Roman" w:hAnsi="Times New Roman" w:cs="Times New Roman"/>
          <w:sz w:val="26"/>
          <w:szCs w:val="26"/>
        </w:rPr>
        <w:t xml:space="preserve"> нефинансовых активов в установленных случаях;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- выбор метода и определение справедливой стоимости активов в установленных нормативными актами и Учетной политикой случаях;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- изменение первоначальной (фактической) стоимости нефинансовых активов </w:t>
      </w:r>
      <w:r w:rsidR="00D62A55">
        <w:rPr>
          <w:rFonts w:ascii="Times New Roman" w:hAnsi="Times New Roman" w:cs="Times New Roman"/>
          <w:sz w:val="26"/>
          <w:szCs w:val="26"/>
        </w:rPr>
        <w:t>финансового отдела</w:t>
      </w:r>
      <w:r w:rsidRPr="009B5698">
        <w:rPr>
          <w:rFonts w:ascii="Times New Roman" w:hAnsi="Times New Roman" w:cs="Times New Roman"/>
          <w:sz w:val="26"/>
          <w:szCs w:val="26"/>
        </w:rPr>
        <w:t xml:space="preserve"> и сроков их полезного использования, обесценение основных средств и нематериальных активов;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B56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5698">
        <w:rPr>
          <w:rFonts w:ascii="Times New Roman" w:hAnsi="Times New Roman" w:cs="Times New Roman"/>
          <w:sz w:val="26"/>
          <w:szCs w:val="26"/>
        </w:rPr>
        <w:t xml:space="preserve"> обозначением материально ответственными лицами инвентарных номеров на соответствующих объектах основных средств;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2.2.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В случае выявления товаров ненадлежащего качества при их приемке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омиссией оформляется Акт приемки материалов (материальных ценностей) (</w:t>
      </w:r>
      <w:hyperlink r:id="rId19" w:anchor="/document/70951956/entry/215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ф. 0504220</w:t>
        </w:r>
      </w:hyperlink>
      <w:r w:rsidRPr="009B5698">
        <w:rPr>
          <w:rFonts w:ascii="Times New Roman" w:hAnsi="Times New Roman" w:cs="Times New Roman"/>
          <w:sz w:val="26"/>
          <w:szCs w:val="26"/>
        </w:rPr>
        <w:t>) (в том числе при поступлении материальных запасов, некачественных объектов, подлежащих учету в составе основных средств, и других материальных ценностей ненадлежащего качества).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2.3.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При принятии к учету объектов имущества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омиссия проверяет наличие сопроводительных документов и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данными указанных документов.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2.4.</w:t>
      </w:r>
      <w:r w:rsidRPr="009B5698">
        <w:rPr>
          <w:rFonts w:ascii="Times New Roman" w:hAnsi="Times New Roman" w:cs="Times New Roman"/>
          <w:sz w:val="26"/>
          <w:szCs w:val="26"/>
        </w:rPr>
        <w:t xml:space="preserve"> Решение об отнесении объекта имущества к основным средствам, нематериальным активам, или материальным запасам принимается в соответствии с положениями федеральных стандартов для организаций госсектора, Инструкции № 157н, а также Учетной политикой.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2.5.</w:t>
      </w:r>
      <w:r w:rsidRPr="009B5698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anchor="/document/58070031/entry/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Решение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о сроках полезного использования поступивших в </w:t>
      </w:r>
      <w:r w:rsidR="00D62A55">
        <w:rPr>
          <w:rFonts w:ascii="Times New Roman" w:hAnsi="Times New Roman" w:cs="Times New Roman"/>
          <w:sz w:val="26"/>
          <w:szCs w:val="26"/>
        </w:rPr>
        <w:t>финансовый отдел</w:t>
      </w:r>
      <w:r w:rsidRPr="009B5698">
        <w:rPr>
          <w:rFonts w:ascii="Times New Roman" w:hAnsi="Times New Roman" w:cs="Times New Roman"/>
          <w:sz w:val="26"/>
          <w:szCs w:val="26"/>
        </w:rPr>
        <w:t xml:space="preserve"> основных средств, нематериальных активов в целях их принятия к учету и </w:t>
      </w:r>
      <w:r w:rsidRPr="009B5698">
        <w:rPr>
          <w:rFonts w:ascii="Times New Roman" w:hAnsi="Times New Roman" w:cs="Times New Roman"/>
          <w:sz w:val="26"/>
          <w:szCs w:val="26"/>
        </w:rPr>
        <w:lastRenderedPageBreak/>
        <w:t xml:space="preserve">начисления амортизации принимается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 xml:space="preserve">омиссией в соответствии с требованиями </w:t>
      </w:r>
      <w:hyperlink r:id="rId21" w:anchor="/document/71589050/entry/1035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п. 35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стандарта "Основные средства", </w:t>
      </w:r>
      <w:hyperlink r:id="rId22" w:anchor="/document/12180849/entry/2044" w:tgtFrame="_blank" w:tooltip="Открыть документ в системе Гарант" w:history="1">
        <w:proofErr w:type="spellStart"/>
        <w:r w:rsidRPr="009B5698">
          <w:rPr>
            <w:rStyle w:val="a3"/>
            <w:rFonts w:ascii="Times New Roman" w:hAnsi="Times New Roman"/>
            <w:sz w:val="26"/>
            <w:szCs w:val="26"/>
          </w:rPr>
          <w:t>п.п</w:t>
        </w:r>
        <w:proofErr w:type="spellEnd"/>
        <w:r w:rsidRPr="009B5698">
          <w:rPr>
            <w:rStyle w:val="a3"/>
            <w:rFonts w:ascii="Times New Roman" w:hAnsi="Times New Roman"/>
            <w:sz w:val="26"/>
            <w:szCs w:val="26"/>
          </w:rPr>
          <w:t>. 44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anchor="/document/12180849/entry/206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60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anchor="/document/12180849/entry/2061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61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Инструкции N 157н, а также согласно положениям Учетной политики.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2.6.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Первоначальная (фактическая) стоимость объектов нефинансовых активов при их приобретении,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(исполнителей)) согласно требованиям федеральных стандартов, Инструкции N 157н и Учетной политики.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2.7.</w:t>
      </w:r>
      <w:r w:rsidRPr="009B56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698">
        <w:rPr>
          <w:rFonts w:ascii="Times New Roman" w:hAnsi="Times New Roman" w:cs="Times New Roman"/>
          <w:sz w:val="26"/>
          <w:szCs w:val="26"/>
        </w:rPr>
        <w:t xml:space="preserve">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 </w:t>
      </w:r>
      <w:hyperlink r:id="rId25" w:anchor="/document/12180849/entry/2029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п. 29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Инструкции </w:t>
      </w:r>
      <w:r w:rsidR="00D62A55">
        <w:rPr>
          <w:rFonts w:ascii="Times New Roman" w:hAnsi="Times New Roman" w:cs="Times New Roman"/>
          <w:sz w:val="26"/>
          <w:szCs w:val="26"/>
        </w:rPr>
        <w:t>№</w:t>
      </w:r>
      <w:r w:rsidRPr="009B5698">
        <w:rPr>
          <w:rFonts w:ascii="Times New Roman" w:hAnsi="Times New Roman" w:cs="Times New Roman"/>
          <w:sz w:val="26"/>
          <w:szCs w:val="26"/>
        </w:rPr>
        <w:t xml:space="preserve"> 157н, </w:t>
      </w:r>
      <w:hyperlink r:id="rId26" w:anchor="/document/71589050/entry/1024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п. 24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стандарта «Основные</w:t>
      </w:r>
      <w:proofErr w:type="gramEnd"/>
      <w:r w:rsidRPr="009B5698">
        <w:rPr>
          <w:rFonts w:ascii="Times New Roman" w:hAnsi="Times New Roman" w:cs="Times New Roman"/>
          <w:sz w:val="26"/>
          <w:szCs w:val="26"/>
        </w:rPr>
        <w:t xml:space="preserve"> средства»: в оценке, определенной передающей стороной (собственником) - по стоимости, отраженной в передаточных документах.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</w:t>
      </w:r>
      <w:r w:rsidR="00D62A55">
        <w:rPr>
          <w:rStyle w:val="enumerated"/>
          <w:rFonts w:ascii="Times New Roman" w:hAnsi="Times New Roman"/>
          <w:sz w:val="26"/>
          <w:szCs w:val="26"/>
        </w:rPr>
        <w:t>8</w:t>
      </w:r>
      <w:r w:rsidRPr="009B5698">
        <w:rPr>
          <w:rStyle w:val="enumerated"/>
          <w:rFonts w:ascii="Times New Roman" w:hAnsi="Times New Roman"/>
          <w:sz w:val="26"/>
          <w:szCs w:val="26"/>
        </w:rPr>
        <w:t>.</w:t>
      </w:r>
      <w:r w:rsidRPr="009B56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698">
        <w:rPr>
          <w:rFonts w:ascii="Times New Roman" w:hAnsi="Times New Roman" w:cs="Times New Roman"/>
          <w:sz w:val="26"/>
          <w:szCs w:val="26"/>
        </w:rPr>
        <w:t xml:space="preserve">При поступлении объектов нефинансовых активов по договорам дарения (пожертвования) от юридических и физических лиц, оприходовании неучтенных активов, выявленных при инвентаризации и проверках, поступлении объектов имущества от </w:t>
      </w:r>
      <w:proofErr w:type="spellStart"/>
      <w:r w:rsidRPr="009B5698"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 w:rsidRPr="009B5698">
        <w:rPr>
          <w:rFonts w:ascii="Times New Roman" w:hAnsi="Times New Roman" w:cs="Times New Roman"/>
          <w:sz w:val="26"/>
          <w:szCs w:val="26"/>
        </w:rPr>
        <w:t xml:space="preserve">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стоимость нефинансовых активов определяется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 xml:space="preserve">омиссией согласно положениям </w:t>
      </w:r>
      <w:hyperlink r:id="rId27" w:anchor="/document/71586636/entry/1052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п. 52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стандарта «Концептуальные основы …», </w:t>
      </w:r>
      <w:hyperlink r:id="rId28" w:anchor="/document/71589050/entry/1022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п. 22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стандарта</w:t>
      </w:r>
      <w:proofErr w:type="gramEnd"/>
      <w:r w:rsidRPr="009B5698">
        <w:rPr>
          <w:rFonts w:ascii="Times New Roman" w:hAnsi="Times New Roman" w:cs="Times New Roman"/>
          <w:sz w:val="26"/>
          <w:szCs w:val="26"/>
        </w:rPr>
        <w:t xml:space="preserve"> «Основные средства», </w:t>
      </w:r>
      <w:hyperlink r:id="rId29" w:anchor="/document/12180849/entry/2023" w:tgtFrame="_blank" w:tooltip="Открыть документ в системе Гарант" w:history="1">
        <w:proofErr w:type="spellStart"/>
        <w:r w:rsidRPr="009B5698">
          <w:rPr>
            <w:rStyle w:val="a3"/>
            <w:rFonts w:ascii="Times New Roman" w:hAnsi="Times New Roman"/>
            <w:sz w:val="26"/>
            <w:szCs w:val="26"/>
          </w:rPr>
          <w:t>п.п</w:t>
        </w:r>
        <w:proofErr w:type="spellEnd"/>
        <w:r w:rsidRPr="009B5698">
          <w:rPr>
            <w:rStyle w:val="a3"/>
            <w:rFonts w:ascii="Times New Roman" w:hAnsi="Times New Roman"/>
            <w:sz w:val="26"/>
            <w:szCs w:val="26"/>
          </w:rPr>
          <w:t>. 23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anchor="/document/12180849/entry/2025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25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anchor="/document/12180849/entry/2031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31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anchor="/document/12180849/entry/2106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106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anchor="/document/12180849/entry/13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357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Инструкции N 157н и Учетной политики.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При частичной ликвидации объекта основных средств расчет стоимости ликвидируемой части объекта осуществляется согласно п. 2.3 Учетной политики.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</w:t>
      </w:r>
      <w:r w:rsidR="00D62A55">
        <w:rPr>
          <w:rStyle w:val="enumerated"/>
          <w:rFonts w:ascii="Times New Roman" w:hAnsi="Times New Roman"/>
          <w:sz w:val="26"/>
          <w:szCs w:val="26"/>
        </w:rPr>
        <w:t>9</w:t>
      </w:r>
      <w:r w:rsidRPr="009B5698">
        <w:rPr>
          <w:rStyle w:val="enumerated"/>
          <w:rFonts w:ascii="Times New Roman" w:hAnsi="Times New Roman"/>
          <w:sz w:val="26"/>
          <w:szCs w:val="26"/>
        </w:rPr>
        <w:t>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При начислении задолженности по недостаче нефинансовых активов восстановительная стоимость нефинансовых активов определяется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 xml:space="preserve">омиссией на день обнаружения ущерба согласно положениям </w:t>
      </w:r>
      <w:hyperlink r:id="rId34" w:anchor="/document/12180849/entry/2090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п. 220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Инструкции N 157н и Учетной политики.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2.11.</w:t>
      </w:r>
      <w:r w:rsidRPr="009B5698">
        <w:rPr>
          <w:rFonts w:ascii="Times New Roman" w:hAnsi="Times New Roman" w:cs="Times New Roman"/>
          <w:sz w:val="26"/>
          <w:szCs w:val="26"/>
        </w:rPr>
        <w:t xml:space="preserve"> Уполномоченный член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 xml:space="preserve">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 </w:t>
      </w:r>
      <w:hyperlink r:id="rId35" w:anchor="/document/12180849/entry/2046" w:tgtFrame="_blank" w:tooltip="Открыть документ в системе Гарант" w:history="1">
        <w:proofErr w:type="spellStart"/>
        <w:r w:rsidRPr="009B5698">
          <w:rPr>
            <w:rStyle w:val="a3"/>
            <w:rFonts w:ascii="Times New Roman" w:hAnsi="Times New Roman"/>
            <w:sz w:val="26"/>
            <w:szCs w:val="26"/>
          </w:rPr>
          <w:t>п.п</w:t>
        </w:r>
        <w:proofErr w:type="spellEnd"/>
        <w:r w:rsidRPr="009B5698">
          <w:rPr>
            <w:rStyle w:val="a3"/>
            <w:rFonts w:ascii="Times New Roman" w:hAnsi="Times New Roman"/>
            <w:sz w:val="26"/>
            <w:szCs w:val="26"/>
          </w:rPr>
          <w:t>. 46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anchor="/document/12180849/entry/2118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118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Инструкции N 157н и Учетной политики.</w:t>
      </w:r>
    </w:p>
    <w:p w:rsidR="0049082D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2.12.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При частичной ликвидации (</w:t>
      </w:r>
      <w:proofErr w:type="spellStart"/>
      <w:r w:rsidRPr="009B5698"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 w:rsidRPr="009B5698">
        <w:rPr>
          <w:rFonts w:ascii="Times New Roman" w:hAnsi="Times New Roman" w:cs="Times New Roman"/>
          <w:sz w:val="26"/>
          <w:szCs w:val="26"/>
        </w:rPr>
        <w:t xml:space="preserve">) объекта нефинансовых активов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омиссия принимает решение о расчете стоимости ликвидируемой части объекта в соответствии с Учетной политикой.</w:t>
      </w:r>
    </w:p>
    <w:p w:rsidR="00D62A55" w:rsidRPr="009B5698" w:rsidRDefault="00D62A55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</w:p>
    <w:p w:rsidR="0049082D" w:rsidRPr="009B5698" w:rsidRDefault="0049082D" w:rsidP="009B5698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i w:val="0"/>
          <w:sz w:val="26"/>
          <w:szCs w:val="26"/>
        </w:rPr>
      </w:pPr>
      <w:r w:rsidRPr="009B5698">
        <w:rPr>
          <w:rStyle w:val="enumerated"/>
          <w:rFonts w:ascii="Times New Roman" w:hAnsi="Times New Roman"/>
          <w:i w:val="0"/>
          <w:sz w:val="26"/>
          <w:szCs w:val="26"/>
        </w:rPr>
        <w:t>3.</w:t>
      </w:r>
      <w:r w:rsidRPr="009B5698">
        <w:rPr>
          <w:rFonts w:ascii="Times New Roman" w:hAnsi="Times New Roman" w:cs="Times New Roman"/>
          <w:i w:val="0"/>
          <w:sz w:val="26"/>
          <w:szCs w:val="26"/>
        </w:rPr>
        <w:t xml:space="preserve"> Принятие решений по выбытию активов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3.1.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При выбытии (списании) активов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омиссия осуществляет следующие полномочия: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1) осмотр имущества;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lastRenderedPageBreak/>
        <w:t>2) принятие решения по вопросу о целесообразности (возможности) дальнейшего использования (восстановления) имущества или его частей (узлов, деталей, конструкций и материалов) с учетом положений Учетной политики;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3) установление причин списания имущества;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4) проверка документов, представленных должностными лицами, инициировавшими рассмотрение вопроса о списании имущества;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5) принятие решения о необходимости: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- затребования дополнительных документов (информации);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6) принятие решения о списании имущества (в том числе числящихся за балансом объектов движимого имущества, периодических изданий), дебиторской и кредиторской задолженности;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7) подготовка Акта о списании имущества и документов для согласования списания имущества;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8) </w:t>
      </w:r>
      <w:proofErr w:type="gramStart"/>
      <w:r w:rsidRPr="009B56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5698">
        <w:rPr>
          <w:rFonts w:ascii="Times New Roman" w:hAnsi="Times New Roman" w:cs="Times New Roman"/>
          <w:sz w:val="26"/>
          <w:szCs w:val="26"/>
        </w:rPr>
        <w:t xml:space="preserve"> изъятием из списываемого имущества пригодных узлов, деталей, конструкций и материалов;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9) 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10) контроль сдачи на склад пригодных к использованию материальных ценностей, полученных в результате разборки (демонтажа) объектов имущества;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11) установление лиц, виновных в списании имущества в результате нарушение условий содержания и (или) эксплуатации, недостач, порчи, хищений;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12) осуществление сверок с дебиторами и кредиторами с целью принятия решения о списании дебиторской и кредиторской задолженности;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3.2.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Комиссия принимает решение о выбытии (списании) активов учреждения согласно положениям </w:t>
      </w:r>
      <w:hyperlink r:id="rId37" w:anchor="/document/71589050/entry/1045" w:tgtFrame="_blank" w:tooltip="Открыть документ в системе Гарант" w:history="1">
        <w:proofErr w:type="spellStart"/>
        <w:r w:rsidRPr="009B5698">
          <w:rPr>
            <w:rStyle w:val="a3"/>
            <w:rFonts w:ascii="Times New Roman" w:hAnsi="Times New Roman"/>
            <w:sz w:val="26"/>
            <w:szCs w:val="26"/>
          </w:rPr>
          <w:t>п.п</w:t>
        </w:r>
        <w:proofErr w:type="spellEnd"/>
        <w:r w:rsidRPr="009B5698">
          <w:rPr>
            <w:rStyle w:val="a3"/>
            <w:rFonts w:ascii="Times New Roman" w:hAnsi="Times New Roman"/>
            <w:sz w:val="26"/>
            <w:szCs w:val="26"/>
          </w:rPr>
          <w:t>. 45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anchor="/document/71589050/entry/1045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46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стандарта «Основные средства», </w:t>
      </w:r>
      <w:hyperlink r:id="rId39" w:anchor="/document/12180849/entry/2034" w:tgtFrame="_blank" w:tooltip="Открыть документ в системе Гарант" w:history="1">
        <w:proofErr w:type="spellStart"/>
        <w:r w:rsidRPr="009B5698">
          <w:rPr>
            <w:rStyle w:val="a3"/>
            <w:rFonts w:ascii="Times New Roman" w:hAnsi="Times New Roman"/>
            <w:sz w:val="26"/>
            <w:szCs w:val="26"/>
          </w:rPr>
          <w:t>п.п</w:t>
        </w:r>
        <w:proofErr w:type="spellEnd"/>
        <w:r w:rsidRPr="009B5698">
          <w:rPr>
            <w:rStyle w:val="a3"/>
            <w:rFonts w:ascii="Times New Roman" w:hAnsi="Times New Roman"/>
            <w:sz w:val="26"/>
            <w:szCs w:val="26"/>
          </w:rPr>
          <w:t>. 34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anchor="/document/12180849/entry/2051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51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anchor="/document/12180849/entry/2063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63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anchor="/document/12180849/entry/4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339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43" w:anchor="/document/12180849/entry/20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371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44" w:anchor="/document/12180849/entry/23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377</w:t>
        </w:r>
      </w:hyperlink>
      <w:r w:rsidR="00D62A55">
        <w:rPr>
          <w:rFonts w:ascii="Times New Roman" w:hAnsi="Times New Roman" w:cs="Times New Roman"/>
          <w:sz w:val="26"/>
          <w:szCs w:val="26"/>
        </w:rPr>
        <w:t xml:space="preserve"> Инструкции №</w:t>
      </w:r>
      <w:r w:rsidRPr="009B5698">
        <w:rPr>
          <w:rFonts w:ascii="Times New Roman" w:hAnsi="Times New Roman" w:cs="Times New Roman"/>
          <w:sz w:val="26"/>
          <w:szCs w:val="26"/>
        </w:rPr>
        <w:t xml:space="preserve"> 157н в следующих случаях: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1)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2) имущество выбыло из владения, пользования, распоряжения вследствие гибели или уничтожения, в том числе помимо воли учреждения (хищения, недостачи и порчи, выявленные при инвентаризации), а также невозможности выяснения его местонахождения;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3) имущество в установленном порядке передается иной организации государственного сектора, государственному (муниципальному) </w:t>
      </w:r>
      <w:r w:rsidR="00D62A55">
        <w:rPr>
          <w:rFonts w:ascii="Times New Roman" w:hAnsi="Times New Roman" w:cs="Times New Roman"/>
          <w:sz w:val="26"/>
          <w:szCs w:val="26"/>
        </w:rPr>
        <w:t>учреждению</w:t>
      </w:r>
      <w:r w:rsidRPr="009B5698">
        <w:rPr>
          <w:rFonts w:ascii="Times New Roman" w:hAnsi="Times New Roman" w:cs="Times New Roman"/>
          <w:sz w:val="26"/>
          <w:szCs w:val="26"/>
        </w:rPr>
        <w:t>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4) в иных случаях прекращения права оперативного управления, предусмотренных действующим законодательством;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5) признание дебиторской задолженности по доходам бюджета безнадежной </w:t>
      </w:r>
      <w:proofErr w:type="gramStart"/>
      <w:r w:rsidRPr="009B5698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9B5698">
        <w:rPr>
          <w:rFonts w:ascii="Times New Roman" w:hAnsi="Times New Roman" w:cs="Times New Roman"/>
          <w:sz w:val="26"/>
          <w:szCs w:val="26"/>
        </w:rPr>
        <w:t xml:space="preserve"> взысканию в целях ее списания с балансового учета по основаниям, указанным в </w:t>
      </w:r>
      <w:hyperlink r:id="rId45" w:anchor="/document/12212604/entry/4721" w:tgtFrame="_blank" w:tooltip="Открыть документ в системе Гарант" w:history="1">
        <w:proofErr w:type="spellStart"/>
        <w:r w:rsidRPr="009B5698">
          <w:rPr>
            <w:rStyle w:val="a3"/>
            <w:rFonts w:ascii="Times New Roman" w:hAnsi="Times New Roman"/>
            <w:sz w:val="26"/>
            <w:szCs w:val="26"/>
          </w:rPr>
          <w:t>п.п</w:t>
        </w:r>
        <w:proofErr w:type="spellEnd"/>
        <w:r w:rsidRPr="009B5698">
          <w:rPr>
            <w:rStyle w:val="a3"/>
            <w:rFonts w:ascii="Times New Roman" w:hAnsi="Times New Roman"/>
            <w:sz w:val="26"/>
            <w:szCs w:val="26"/>
          </w:rPr>
          <w:t>. 1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, </w:t>
      </w:r>
      <w:hyperlink r:id="rId46" w:anchor="/document/12212604/entry/4722" w:tgtFrame="_blank" w:tooltip="Открыть документ в системе Гарант" w:history="1">
        <w:r w:rsidRPr="009B5698">
          <w:rPr>
            <w:rStyle w:val="a3"/>
            <w:rFonts w:ascii="Times New Roman" w:hAnsi="Times New Roman"/>
            <w:sz w:val="26"/>
            <w:szCs w:val="26"/>
          </w:rPr>
          <w:t>2 ст. 47.2</w:t>
        </w:r>
      </w:hyperlink>
      <w:r w:rsidRPr="009B5698">
        <w:rPr>
          <w:rFonts w:ascii="Times New Roman" w:hAnsi="Times New Roman" w:cs="Times New Roman"/>
          <w:sz w:val="26"/>
          <w:szCs w:val="26"/>
        </w:rPr>
        <w:t xml:space="preserve"> БК РФ;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6) признание дебиторской задолженности, подлежащей списанию с </w:t>
      </w:r>
      <w:proofErr w:type="spellStart"/>
      <w:r w:rsidRPr="009B5698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9B5698">
        <w:rPr>
          <w:rFonts w:ascii="Times New Roman" w:hAnsi="Times New Roman" w:cs="Times New Roman"/>
          <w:sz w:val="26"/>
          <w:szCs w:val="26"/>
        </w:rPr>
        <w:t xml:space="preserve"> учета, при завершении </w:t>
      </w:r>
      <w:proofErr w:type="gramStart"/>
      <w:r w:rsidRPr="009B5698">
        <w:rPr>
          <w:rFonts w:ascii="Times New Roman" w:hAnsi="Times New Roman" w:cs="Times New Roman"/>
          <w:sz w:val="26"/>
          <w:szCs w:val="26"/>
        </w:rPr>
        <w:t>срока возможного возобновления процедуры взыскания задолженности</w:t>
      </w:r>
      <w:proofErr w:type="gramEnd"/>
      <w:r w:rsidRPr="009B5698">
        <w:rPr>
          <w:rFonts w:ascii="Times New Roman" w:hAnsi="Times New Roman" w:cs="Times New Roman"/>
          <w:sz w:val="26"/>
          <w:szCs w:val="26"/>
        </w:rPr>
        <w:t xml:space="preserve"> согласно действующему законодательству, а также при получении документов, подтверждающих прекращение обязательств смертью (ликвидацией) дебитора;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7) признание согласно положениям Учетной политики кредиторской задолженности невостребованной кредиторами в целях ее списания с балансового </w:t>
      </w:r>
      <w:r w:rsidRPr="009B5698">
        <w:rPr>
          <w:rFonts w:ascii="Times New Roman" w:hAnsi="Times New Roman" w:cs="Times New Roman"/>
          <w:sz w:val="26"/>
          <w:szCs w:val="26"/>
        </w:rPr>
        <w:lastRenderedPageBreak/>
        <w:t xml:space="preserve">учета и истечение срока учета кредиторской задолженности за балансом в целях ее списания с </w:t>
      </w:r>
      <w:proofErr w:type="spellStart"/>
      <w:r w:rsidRPr="009B5698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9B5698">
        <w:rPr>
          <w:rFonts w:ascii="Times New Roman" w:hAnsi="Times New Roman" w:cs="Times New Roman"/>
          <w:sz w:val="26"/>
          <w:szCs w:val="26"/>
        </w:rPr>
        <w:t xml:space="preserve"> учета.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3.3.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Комиссия принимает решения по выбытию (списанию) активов с учетом: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 xml:space="preserve">1) наличия технического заключения экспертов или сотрудников </w:t>
      </w:r>
      <w:r w:rsidR="00D62A55">
        <w:rPr>
          <w:rFonts w:ascii="Times New Roman" w:hAnsi="Times New Roman" w:cs="Times New Roman"/>
          <w:sz w:val="26"/>
          <w:szCs w:val="26"/>
        </w:rPr>
        <w:t>финансового отдела</w:t>
      </w:r>
      <w:r w:rsidRPr="009B5698">
        <w:rPr>
          <w:rFonts w:ascii="Times New Roman" w:hAnsi="Times New Roman" w:cs="Times New Roman"/>
          <w:sz w:val="26"/>
          <w:szCs w:val="26"/>
        </w:rPr>
        <w:t>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Fonts w:ascii="Times New Roman" w:hAnsi="Times New Roman" w:cs="Times New Roman"/>
          <w:sz w:val="26"/>
          <w:szCs w:val="26"/>
        </w:rPr>
        <w:t>2) наличия иных документов, подтверждающих факт преждевременного выбытия имущества из владения, пользования и распоряжения.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3.4.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После утверждения Акта о списании имущества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омиссия контролирует выполнение мероприятий, предусмотренных этим актом: разборку, демонтаж, уничтожение, утилизацию и т.п.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3.5.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При выбытии (списании) активов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омиссией оформляются следующие первичные документы: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09"/>
        <w:gridCol w:w="4766"/>
      </w:tblGrid>
      <w:tr w:rsidR="0049082D" w:rsidRPr="009B5698" w:rsidTr="004E0E6E">
        <w:trPr>
          <w:tblCellSpacing w:w="15" w:type="dxa"/>
        </w:trPr>
        <w:tc>
          <w:tcPr>
            <w:tcW w:w="4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Первичные учетные документы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Основания для оформления</w:t>
            </w:r>
          </w:p>
        </w:tc>
      </w:tr>
      <w:tr w:rsidR="0049082D" w:rsidRPr="009B5698" w:rsidTr="004E0E6E">
        <w:trPr>
          <w:tblCellSpacing w:w="15" w:type="dxa"/>
        </w:trPr>
        <w:tc>
          <w:tcPr>
            <w:tcW w:w="4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 о списании объектов нефинансовых активов (кроме транспортных средств) (</w:t>
            </w:r>
            <w:hyperlink r:id="rId47" w:anchor="/document/70951956/entry/2040" w:tgtFrame="_blank" w:tooltip="Открыть документ в системе Гарант" w:history="1">
              <w:r w:rsidRPr="009B5698">
                <w:rPr>
                  <w:rStyle w:val="a3"/>
                  <w:rFonts w:ascii="Times New Roman" w:hAnsi="Times New Roman"/>
                  <w:sz w:val="26"/>
                  <w:szCs w:val="26"/>
                </w:rPr>
                <w:t>ф. 0504104</w:t>
              </w:r>
            </w:hyperlink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Списание основных средств (кроме автотранспортных средств), нематериальных активов, непроизведенных активов</w:t>
            </w:r>
          </w:p>
        </w:tc>
      </w:tr>
      <w:tr w:rsidR="0049082D" w:rsidRPr="009B5698" w:rsidTr="004E0E6E">
        <w:trPr>
          <w:tblCellSpacing w:w="15" w:type="dxa"/>
        </w:trPr>
        <w:tc>
          <w:tcPr>
            <w:tcW w:w="4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 о списании мягкого и хозяйственного инвентаря (</w:t>
            </w:r>
            <w:hyperlink r:id="rId48" w:anchor="/document/70951956/entry/2060" w:tgtFrame="_blank" w:tooltip="Открыть документ в системе Гарант" w:history="1">
              <w:r w:rsidRPr="009B5698">
                <w:rPr>
                  <w:rStyle w:val="a3"/>
                  <w:rFonts w:ascii="Times New Roman" w:hAnsi="Times New Roman"/>
                  <w:sz w:val="26"/>
                  <w:szCs w:val="26"/>
                </w:rPr>
                <w:t>ф. 0504143</w:t>
              </w:r>
            </w:hyperlink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Списание однородных предметов хозяйственного инвентаря (в </w:t>
            </w:r>
            <w:proofErr w:type="spellStart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списание указанных объектов с </w:t>
            </w:r>
            <w:proofErr w:type="spellStart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забалансового</w:t>
            </w:r>
            <w:proofErr w:type="spellEnd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учета)</w:t>
            </w:r>
          </w:p>
        </w:tc>
      </w:tr>
      <w:tr w:rsidR="0049082D" w:rsidRPr="009B5698" w:rsidTr="004E0E6E">
        <w:trPr>
          <w:tblCellSpacing w:w="15" w:type="dxa"/>
        </w:trPr>
        <w:tc>
          <w:tcPr>
            <w:tcW w:w="4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82D" w:rsidRPr="009B5698" w:rsidRDefault="00B32DDF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49" w:anchor="/document/58070402/entry/0" w:tgtFrame="_blank" w:tooltip="Открыть документ в системе Гарант" w:history="1">
              <w:r w:rsidR="0049082D" w:rsidRPr="009B5698">
                <w:rPr>
                  <w:rStyle w:val="a3"/>
                  <w:rFonts w:ascii="Times New Roman" w:hAnsi="Times New Roman"/>
                  <w:sz w:val="26"/>
                  <w:szCs w:val="26"/>
                </w:rPr>
                <w:t>Акт</w:t>
              </w:r>
            </w:hyperlink>
            <w:r w:rsidR="0049082D"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ликвидации (уничтожении) основного средства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082D" w:rsidRPr="009B5698" w:rsidRDefault="0049082D" w:rsidP="00D62A5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Оформляется при ликвидации (уничтожении) объектов основных средств силами </w:t>
            </w:r>
            <w:r w:rsidR="00D62A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финансового отдела</w:t>
            </w: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(Учетная политика)</w:t>
            </w:r>
          </w:p>
        </w:tc>
      </w:tr>
      <w:tr w:rsidR="0049082D" w:rsidRPr="009B5698" w:rsidTr="004E0E6E">
        <w:trPr>
          <w:tblCellSpacing w:w="15" w:type="dxa"/>
        </w:trPr>
        <w:tc>
          <w:tcPr>
            <w:tcW w:w="4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 о списании материальных запасов (</w:t>
            </w:r>
            <w:hyperlink r:id="rId50" w:anchor="/document/70951956/entry/2160" w:tgtFrame="_blank" w:tooltip="Открыть документ в системе Гарант" w:history="1">
              <w:r w:rsidRPr="009B5698">
                <w:rPr>
                  <w:rStyle w:val="a3"/>
                  <w:rFonts w:ascii="Times New Roman" w:hAnsi="Times New Roman"/>
                  <w:sz w:val="26"/>
                  <w:szCs w:val="26"/>
                </w:rPr>
                <w:t>ф. 0504230</w:t>
              </w:r>
            </w:hyperlink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Оформляется после документального подтверждения достижения целей, ради которых выдавались материальные запасы, и возврата их остатков на склад. Актом, как правило, оформляются выдача и списание:</w:t>
            </w:r>
          </w:p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строительных материалов;</w:t>
            </w:r>
          </w:p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запасных частей и иных материалов, используемых для изготовления (ремонта) нефинансовых активов;</w:t>
            </w:r>
          </w:p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дорогостоящих канцелярских принадлежностей;</w:t>
            </w:r>
          </w:p>
          <w:p w:rsidR="0049082D" w:rsidRPr="009B5698" w:rsidRDefault="0049082D" w:rsidP="00D62A5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материальных запасов, используемых не в повседневной деятельности </w:t>
            </w:r>
            <w:r w:rsidR="00D62A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финансового отдела</w:t>
            </w: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 для проведения разовых мероприятий (концертов, семинаров и т.п.)</w:t>
            </w:r>
          </w:p>
        </w:tc>
      </w:tr>
      <w:tr w:rsidR="0049082D" w:rsidRPr="009B5698" w:rsidTr="004E0E6E">
        <w:trPr>
          <w:tblCellSpacing w:w="15" w:type="dxa"/>
        </w:trPr>
        <w:tc>
          <w:tcPr>
            <w:tcW w:w="4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Акт о списании дебиторской задолженности с балансового учета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082D" w:rsidRPr="009B5698" w:rsidRDefault="0049082D" w:rsidP="00D62A5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случаи, перечисленные в </w:t>
            </w:r>
            <w:hyperlink r:id="rId51" w:anchor="/document/12212604/entry/4721" w:tgtFrame="_blank" w:tooltip="Открыть документ в системе Гарант" w:history="1">
              <w:proofErr w:type="spellStart"/>
              <w:r w:rsidRPr="009B5698">
                <w:rPr>
                  <w:rStyle w:val="a3"/>
                  <w:rFonts w:ascii="Times New Roman" w:hAnsi="Times New Roman"/>
                  <w:sz w:val="26"/>
                  <w:szCs w:val="26"/>
                </w:rPr>
                <w:t>п.п</w:t>
              </w:r>
              <w:proofErr w:type="spellEnd"/>
              <w:r w:rsidRPr="009B5698">
                <w:rPr>
                  <w:rStyle w:val="a3"/>
                  <w:rFonts w:ascii="Times New Roman" w:hAnsi="Times New Roman"/>
                  <w:sz w:val="26"/>
                  <w:szCs w:val="26"/>
                </w:rPr>
                <w:t>. 1</w:t>
              </w:r>
            </w:hyperlink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hyperlink r:id="rId52" w:anchor="/document/12212604/entry/4722" w:tgtFrame="_blank" w:tooltip="Открыть документ в системе Гарант" w:history="1">
              <w:r w:rsidRPr="009B5698">
                <w:rPr>
                  <w:rStyle w:val="a3"/>
                  <w:rFonts w:ascii="Times New Roman" w:hAnsi="Times New Roman"/>
                  <w:sz w:val="26"/>
                  <w:szCs w:val="26"/>
                </w:rPr>
                <w:t>2 ст. 47.2</w:t>
              </w:r>
            </w:hyperlink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БК РФ;</w:t>
            </w:r>
          </w:p>
        </w:tc>
      </w:tr>
      <w:tr w:rsidR="0049082D" w:rsidRPr="009B5698" w:rsidTr="004E0E6E">
        <w:trPr>
          <w:tblCellSpacing w:w="15" w:type="dxa"/>
        </w:trPr>
        <w:tc>
          <w:tcPr>
            <w:tcW w:w="4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 о списании дебиторской задолженности с </w:t>
            </w:r>
            <w:proofErr w:type="spellStart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забалансового</w:t>
            </w:r>
            <w:proofErr w:type="spellEnd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учета)</w:t>
            </w:r>
            <w:proofErr w:type="gramEnd"/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082D" w:rsidRPr="009B5698" w:rsidRDefault="0049082D" w:rsidP="009B569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Завершение </w:t>
            </w:r>
            <w:proofErr w:type="gramStart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срока возможного возобновления процедуры взыскания задолженности</w:t>
            </w:r>
            <w:proofErr w:type="gramEnd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согласно действующему законодательству;</w:t>
            </w:r>
          </w:p>
          <w:p w:rsidR="0049082D" w:rsidRPr="009B5698" w:rsidRDefault="0049082D" w:rsidP="00D62A5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62A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получении</w:t>
            </w:r>
            <w:proofErr w:type="gramEnd"/>
            <w:r w:rsidRPr="009B5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документов, подтверждающих прекращение обязательств смертью (ликвидацией) дебитора (кредитора)</w:t>
            </w:r>
          </w:p>
        </w:tc>
      </w:tr>
    </w:tbl>
    <w:p w:rsidR="00D62A55" w:rsidRDefault="00D62A55" w:rsidP="009B5698">
      <w:pPr>
        <w:pStyle w:val="2"/>
        <w:spacing w:before="0" w:beforeAutospacing="0" w:after="0" w:afterAutospacing="0"/>
        <w:ind w:firstLine="709"/>
        <w:rPr>
          <w:rStyle w:val="enumerated"/>
          <w:rFonts w:ascii="Times New Roman" w:hAnsi="Times New Roman"/>
          <w:i w:val="0"/>
          <w:sz w:val="26"/>
          <w:szCs w:val="26"/>
        </w:rPr>
      </w:pPr>
    </w:p>
    <w:p w:rsidR="0049082D" w:rsidRPr="009B5698" w:rsidRDefault="0049082D" w:rsidP="009B5698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i w:val="0"/>
          <w:sz w:val="26"/>
          <w:szCs w:val="26"/>
        </w:rPr>
      </w:pPr>
      <w:r w:rsidRPr="009B5698">
        <w:rPr>
          <w:rStyle w:val="enumerated"/>
          <w:rFonts w:ascii="Times New Roman" w:hAnsi="Times New Roman"/>
          <w:i w:val="0"/>
          <w:sz w:val="26"/>
          <w:szCs w:val="26"/>
        </w:rPr>
        <w:t>4.</w:t>
      </w:r>
      <w:r w:rsidRPr="009B5698">
        <w:rPr>
          <w:rFonts w:ascii="Times New Roman" w:hAnsi="Times New Roman" w:cs="Times New Roman"/>
          <w:i w:val="0"/>
          <w:sz w:val="26"/>
          <w:szCs w:val="26"/>
        </w:rPr>
        <w:t xml:space="preserve"> Принятие решений по обесценению активов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4.1.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В ходе инвентаризации или отдельной процедуры перед составлением годовой отчетности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 xml:space="preserve">омиссия выявляет признаки возможного обесценения активов. Кроме теста на обесценение, перед составлением годовой отчетности </w:t>
      </w:r>
      <w:r w:rsidR="00D62A55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омиссия также выявляет признаки уменьшения или отсутствия ранее признанного убытка от обесценения.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4.2.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Если признаки обесценения или снижения убытка от обесценения признаны </w:t>
      </w:r>
      <w:r w:rsidR="00E240E8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омиссией существенными, то она выносит заключение об определении справедливой стоимост</w:t>
      </w:r>
      <w:r w:rsidR="00E240E8">
        <w:rPr>
          <w:rFonts w:ascii="Times New Roman" w:hAnsi="Times New Roman" w:cs="Times New Roman"/>
          <w:sz w:val="26"/>
          <w:szCs w:val="26"/>
        </w:rPr>
        <w:t>и</w:t>
      </w:r>
      <w:r w:rsidRPr="009B5698">
        <w:rPr>
          <w:rFonts w:ascii="Times New Roman" w:hAnsi="Times New Roman" w:cs="Times New Roman"/>
          <w:sz w:val="26"/>
          <w:szCs w:val="26"/>
        </w:rPr>
        <w:t xml:space="preserve"> каждого актива, по которому такие признаки выявлены. Также </w:t>
      </w:r>
      <w:r w:rsidR="00E240E8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омиссия выбирает метод определения справедливой стоимости для каждого выявленного случая обесценения (снижения убытка от обесценения) актива.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4.3.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В решении </w:t>
      </w:r>
      <w:r w:rsidR="00E240E8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омиссии могут быть указаны рекомендации по дальнейшему использованию имущества.</w:t>
      </w:r>
    </w:p>
    <w:p w:rsidR="0049082D" w:rsidRPr="009B5698" w:rsidRDefault="0049082D" w:rsidP="009B569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9B5698">
        <w:rPr>
          <w:rStyle w:val="enumerated"/>
          <w:rFonts w:ascii="Times New Roman" w:hAnsi="Times New Roman"/>
          <w:sz w:val="26"/>
          <w:szCs w:val="26"/>
        </w:rPr>
        <w:t>4.4.</w:t>
      </w:r>
      <w:r w:rsidRPr="009B5698">
        <w:rPr>
          <w:rFonts w:ascii="Times New Roman" w:hAnsi="Times New Roman" w:cs="Times New Roman"/>
          <w:sz w:val="26"/>
          <w:szCs w:val="26"/>
        </w:rPr>
        <w:t xml:space="preserve"> В случае выявления признаков снижения убытка от обесценения, когда сумма убытка не подлежит восстановлению, </w:t>
      </w:r>
      <w:r w:rsidR="00E240E8">
        <w:rPr>
          <w:rFonts w:ascii="Times New Roman" w:hAnsi="Times New Roman" w:cs="Times New Roman"/>
          <w:sz w:val="26"/>
          <w:szCs w:val="26"/>
        </w:rPr>
        <w:t>К</w:t>
      </w:r>
      <w:r w:rsidRPr="009B5698">
        <w:rPr>
          <w:rFonts w:ascii="Times New Roman" w:hAnsi="Times New Roman" w:cs="Times New Roman"/>
          <w:sz w:val="26"/>
          <w:szCs w:val="26"/>
        </w:rPr>
        <w:t>омиссия выносит заключение о необходимости (отсутствии необходимости) скорректировать оставшийся срок полезного использования актива.</w:t>
      </w:r>
    </w:p>
    <w:p w:rsidR="009B5698" w:rsidRPr="009B5698" w:rsidRDefault="009B5698">
      <w:pPr>
        <w:pStyle w:val="a5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sectPr w:rsidR="009B5698" w:rsidRPr="009B5698" w:rsidSect="0010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AE4"/>
    <w:rsid w:val="00044E59"/>
    <w:rsid w:val="00100404"/>
    <w:rsid w:val="00187AE4"/>
    <w:rsid w:val="00374AB5"/>
    <w:rsid w:val="0049082D"/>
    <w:rsid w:val="004E0E6E"/>
    <w:rsid w:val="006D7476"/>
    <w:rsid w:val="00733CE4"/>
    <w:rsid w:val="009B5698"/>
    <w:rsid w:val="00AB53FB"/>
    <w:rsid w:val="00AC5FA6"/>
    <w:rsid w:val="00B32DDF"/>
    <w:rsid w:val="00D62A55"/>
    <w:rsid w:val="00E11BE2"/>
    <w:rsid w:val="00E240E8"/>
    <w:rsid w:val="00F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0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0404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100404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9"/>
    <w:qFormat/>
    <w:rsid w:val="00100404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9"/>
    <w:qFormat/>
    <w:rsid w:val="00100404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40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10040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00404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00404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a3">
    <w:name w:val="Hyperlink"/>
    <w:uiPriority w:val="99"/>
    <w:semiHidden/>
    <w:rsid w:val="00100404"/>
    <w:rPr>
      <w:rFonts w:cs="Times New Roman"/>
      <w:color w:val="000000"/>
      <w:u w:val="none"/>
      <w:effect w:val="none"/>
    </w:rPr>
  </w:style>
  <w:style w:type="character" w:styleId="a4">
    <w:name w:val="FollowedHyperlink"/>
    <w:uiPriority w:val="99"/>
    <w:semiHidden/>
    <w:rsid w:val="00100404"/>
    <w:rPr>
      <w:rFonts w:cs="Times New Roman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rsid w:val="00100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00404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100404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rsid w:val="00100404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rsid w:val="00100404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rsid w:val="00100404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rsid w:val="00100404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rsid w:val="00100404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rsid w:val="0010040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rsid w:val="00100404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rsid w:val="0010040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rsid w:val="00100404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rsid w:val="0010040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rsid w:val="00100404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rsid w:val="00100404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rsid w:val="00100404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rsid w:val="00100404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rsid w:val="0010040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rsid w:val="00100404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rsid w:val="00100404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rsid w:val="00100404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rsid w:val="00100404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rsid w:val="00100404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rsid w:val="00100404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rsid w:val="0010040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rsid w:val="00100404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uiPriority w:val="99"/>
    <w:rsid w:val="00100404"/>
    <w:rPr>
      <w:rFonts w:cs="Times New Roman"/>
    </w:rPr>
  </w:style>
  <w:style w:type="character" w:customStyle="1" w:styleId="enumerated">
    <w:name w:val="enumerated"/>
    <w:uiPriority w:val="99"/>
    <w:rsid w:val="0010040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11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4F6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поступлению и выбытию активов</vt:lpstr>
    </vt:vector>
  </TitlesOfParts>
  <Company/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поступлению и выбытию активов</dc:title>
  <dc:subject/>
  <dc:creator>finuser</dc:creator>
  <cp:keywords/>
  <dc:description/>
  <cp:lastModifiedBy>finuser</cp:lastModifiedBy>
  <cp:revision>5</cp:revision>
  <cp:lastPrinted>2018-12-11T14:11:00Z</cp:lastPrinted>
  <dcterms:created xsi:type="dcterms:W3CDTF">2018-12-11T13:59:00Z</dcterms:created>
  <dcterms:modified xsi:type="dcterms:W3CDTF">2018-12-20T05:07:00Z</dcterms:modified>
</cp:coreProperties>
</file>