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A1" w:rsidRDefault="00E04CA1" w:rsidP="0030055F">
      <w:pPr>
        <w:ind w:left="5580"/>
        <w:rPr>
          <w:b/>
          <w:sz w:val="28"/>
          <w:szCs w:val="28"/>
        </w:rPr>
      </w:pPr>
    </w:p>
    <w:p w:rsidR="00E04CA1" w:rsidRDefault="00E04CA1" w:rsidP="0030055F">
      <w:pPr>
        <w:ind w:left="5580"/>
        <w:rPr>
          <w:b/>
          <w:sz w:val="28"/>
          <w:szCs w:val="28"/>
        </w:rPr>
      </w:pPr>
    </w:p>
    <w:p w:rsidR="00E04CA1" w:rsidRDefault="00E04CA1" w:rsidP="0030055F">
      <w:pPr>
        <w:ind w:left="5580"/>
        <w:rPr>
          <w:b/>
          <w:sz w:val="28"/>
          <w:szCs w:val="28"/>
        </w:rPr>
      </w:pPr>
    </w:p>
    <w:p w:rsidR="00E04CA1" w:rsidRDefault="00E04CA1" w:rsidP="0030055F">
      <w:pPr>
        <w:ind w:left="5580"/>
        <w:rPr>
          <w:b/>
          <w:sz w:val="28"/>
          <w:szCs w:val="28"/>
        </w:rPr>
      </w:pPr>
    </w:p>
    <w:p w:rsidR="00E04CA1" w:rsidRDefault="00E04CA1" w:rsidP="0030055F">
      <w:pPr>
        <w:ind w:left="5580"/>
        <w:rPr>
          <w:b/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ind w:left="5580"/>
        <w:rPr>
          <w:sz w:val="28"/>
          <w:szCs w:val="28"/>
        </w:rPr>
      </w:pPr>
    </w:p>
    <w:p w:rsidR="00E04CA1" w:rsidRDefault="00E04CA1" w:rsidP="003005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МУНИЦИПАЛЬНЫЙ ДОКЛАД</w:t>
      </w:r>
    </w:p>
    <w:p w:rsidR="00E04CA1" w:rsidRDefault="00E04CA1" w:rsidP="0030055F">
      <w:pPr>
        <w:jc w:val="center"/>
        <w:rPr>
          <w:b/>
          <w:sz w:val="32"/>
          <w:szCs w:val="32"/>
        </w:rPr>
      </w:pPr>
      <w:r w:rsidRPr="005B4693">
        <w:rPr>
          <w:b/>
          <w:sz w:val="32"/>
          <w:szCs w:val="32"/>
        </w:rPr>
        <w:t xml:space="preserve">О СОСТОЯНИИ УСЛОВИЙ И ОХРАНЫ ТРУДА </w:t>
      </w:r>
    </w:p>
    <w:p w:rsidR="00E04CA1" w:rsidRDefault="00E04CA1" w:rsidP="0030055F">
      <w:pPr>
        <w:jc w:val="center"/>
        <w:rPr>
          <w:b/>
          <w:sz w:val="32"/>
          <w:szCs w:val="32"/>
        </w:rPr>
      </w:pPr>
      <w:r w:rsidRPr="005B4693">
        <w:rPr>
          <w:b/>
          <w:sz w:val="32"/>
          <w:szCs w:val="32"/>
        </w:rPr>
        <w:t xml:space="preserve">В АЛАТЫРСКОМ РАЙОНЕ ЧУВАШСКОЙ РЕСПУБЛИКИ </w:t>
      </w:r>
    </w:p>
    <w:p w:rsidR="00E04CA1" w:rsidRDefault="00E04CA1" w:rsidP="00300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2018</w:t>
      </w:r>
      <w:r w:rsidRPr="005B4693">
        <w:rPr>
          <w:b/>
          <w:sz w:val="32"/>
          <w:szCs w:val="32"/>
        </w:rPr>
        <w:t xml:space="preserve"> ГОДУ</w:t>
      </w: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32"/>
          <w:szCs w:val="32"/>
        </w:rPr>
      </w:pPr>
    </w:p>
    <w:p w:rsidR="00E04CA1" w:rsidRDefault="00E04CA1" w:rsidP="00300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Алатырь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</w:t>
        </w:r>
        <w:r w:rsidRPr="005B4693">
          <w:rPr>
            <w:b/>
            <w:sz w:val="28"/>
            <w:szCs w:val="28"/>
          </w:rPr>
          <w:t xml:space="preserve"> г</w:t>
        </w:r>
      </w:smartTag>
      <w:r w:rsidRPr="005B4693">
        <w:rPr>
          <w:b/>
          <w:sz w:val="28"/>
          <w:szCs w:val="28"/>
        </w:rPr>
        <w:t>.</w:t>
      </w:r>
    </w:p>
    <w:p w:rsidR="00E04CA1" w:rsidRPr="00E025CE" w:rsidRDefault="00E04CA1" w:rsidP="000545DB">
      <w:pPr>
        <w:widowControl w:val="0"/>
        <w:ind w:firstLine="720"/>
        <w:rPr>
          <w:snapToGrid w:val="0"/>
          <w:color w:val="000000"/>
          <w:sz w:val="28"/>
          <w:szCs w:val="28"/>
        </w:rPr>
      </w:pPr>
    </w:p>
    <w:p w:rsidR="00E04CA1" w:rsidRDefault="00E04CA1" w:rsidP="000545DB">
      <w:pPr>
        <w:autoSpaceDE w:val="0"/>
        <w:autoSpaceDN w:val="0"/>
        <w:adjustRightInd w:val="0"/>
        <w:ind w:left="5529"/>
        <w:jc w:val="center"/>
        <w:rPr>
          <w:color w:val="000000"/>
          <w:sz w:val="28"/>
          <w:szCs w:val="28"/>
        </w:rPr>
      </w:pPr>
    </w:p>
    <w:p w:rsidR="00E04CA1" w:rsidRPr="00A8558D" w:rsidRDefault="00E04CA1" w:rsidP="00A8558D">
      <w:pPr>
        <w:widowControl w:val="0"/>
        <w:suppressAutoHyphens/>
        <w:ind w:firstLine="0"/>
        <w:jc w:val="right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58D">
        <w:rPr>
          <w:b/>
          <w:bCs/>
          <w:color w:val="26282F"/>
          <w:sz w:val="24"/>
        </w:rPr>
        <w:lastRenderedPageBreak/>
        <w:t xml:space="preserve">Утвержден </w:t>
      </w:r>
    </w:p>
    <w:p w:rsidR="00E04CA1" w:rsidRPr="004A3E36" w:rsidRDefault="00E04CA1" w:rsidP="004A3E36">
      <w:pPr>
        <w:autoSpaceDE w:val="0"/>
        <w:autoSpaceDN w:val="0"/>
        <w:adjustRightInd w:val="0"/>
        <w:ind w:firstLine="720"/>
        <w:jc w:val="right"/>
        <w:rPr>
          <w:rFonts w:ascii="Arial" w:hAnsi="Arial"/>
          <w:b/>
          <w:bCs/>
          <w:color w:val="26282F"/>
          <w:sz w:val="24"/>
        </w:rPr>
      </w:pPr>
      <w:r>
        <w:rPr>
          <w:bCs/>
          <w:color w:val="26282F"/>
          <w:sz w:val="24"/>
        </w:rPr>
        <w:t xml:space="preserve">Постановлением </w:t>
      </w:r>
      <w:r>
        <w:rPr>
          <w:snapToGrid w:val="0"/>
          <w:color w:val="000000"/>
          <w:sz w:val="24"/>
        </w:rPr>
        <w:t xml:space="preserve">  администрации</w:t>
      </w:r>
    </w:p>
    <w:p w:rsidR="00E04CA1" w:rsidRDefault="00E04CA1" w:rsidP="006C0EA8">
      <w:pPr>
        <w:widowControl w:val="0"/>
        <w:suppressAutoHyphens/>
        <w:ind w:firstLine="0"/>
        <w:jc w:val="righ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Алатырского района </w:t>
      </w:r>
    </w:p>
    <w:p w:rsidR="00E04CA1" w:rsidRDefault="00E04CA1" w:rsidP="006C0EA8">
      <w:pPr>
        <w:widowControl w:val="0"/>
        <w:suppressAutoHyphens/>
        <w:ind w:firstLine="0"/>
        <w:jc w:val="right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softHyphen/>
      </w:r>
      <w:r>
        <w:rPr>
          <w:snapToGrid w:val="0"/>
          <w:color w:val="000000"/>
          <w:sz w:val="24"/>
        </w:rPr>
        <w:softHyphen/>
        <w:t>27.05.2019 г. № 153</w:t>
      </w:r>
    </w:p>
    <w:p w:rsidR="00E04CA1" w:rsidRDefault="00E04CA1" w:rsidP="006C0EA8">
      <w:pPr>
        <w:widowControl w:val="0"/>
        <w:suppressAutoHyphens/>
        <w:ind w:firstLine="0"/>
        <w:jc w:val="right"/>
        <w:rPr>
          <w:snapToGrid w:val="0"/>
          <w:color w:val="000000"/>
          <w:sz w:val="24"/>
        </w:rPr>
      </w:pPr>
    </w:p>
    <w:p w:rsidR="00E04CA1" w:rsidRPr="00E025CE" w:rsidRDefault="00E04CA1" w:rsidP="000545DB">
      <w:pPr>
        <w:widowControl w:val="0"/>
        <w:ind w:firstLine="0"/>
        <w:jc w:val="center"/>
        <w:rPr>
          <w:b/>
          <w:snapToGrid w:val="0"/>
          <w:color w:val="000000"/>
          <w:sz w:val="28"/>
          <w:szCs w:val="28"/>
        </w:rPr>
      </w:pPr>
    </w:p>
    <w:p w:rsidR="00E04CA1" w:rsidRPr="00E025CE" w:rsidRDefault="00E04CA1" w:rsidP="000545DB">
      <w:pPr>
        <w:widowControl w:val="0"/>
        <w:ind w:firstLine="0"/>
        <w:jc w:val="center"/>
        <w:rPr>
          <w:b/>
          <w:snapToGrid w:val="0"/>
          <w:color w:val="000000"/>
          <w:sz w:val="28"/>
          <w:szCs w:val="28"/>
        </w:rPr>
      </w:pPr>
    </w:p>
    <w:p w:rsidR="00E04CA1" w:rsidRPr="00E025CE" w:rsidRDefault="00E04CA1" w:rsidP="000545DB">
      <w:pPr>
        <w:jc w:val="center"/>
        <w:rPr>
          <w:b/>
          <w:sz w:val="28"/>
          <w:szCs w:val="28"/>
        </w:rPr>
      </w:pPr>
      <w:r w:rsidRPr="00E025CE">
        <w:rPr>
          <w:b/>
          <w:sz w:val="28"/>
          <w:szCs w:val="28"/>
        </w:rPr>
        <w:t>МУНИЦИПАЛЬНЫЙ ДОКЛАД</w:t>
      </w:r>
    </w:p>
    <w:p w:rsidR="00E04CA1" w:rsidRPr="00E025CE" w:rsidRDefault="00E04CA1" w:rsidP="000545DB">
      <w:pPr>
        <w:jc w:val="center"/>
        <w:rPr>
          <w:b/>
          <w:sz w:val="28"/>
          <w:szCs w:val="28"/>
        </w:rPr>
      </w:pPr>
      <w:r w:rsidRPr="00E025CE">
        <w:rPr>
          <w:b/>
          <w:sz w:val="28"/>
          <w:szCs w:val="28"/>
        </w:rPr>
        <w:t>О СОСТОЯНИИ УСЛОВИЙ И ОХРАНЫ ТРУДА</w:t>
      </w:r>
    </w:p>
    <w:p w:rsidR="00E04CA1" w:rsidRDefault="00E04CA1" w:rsidP="000545DB">
      <w:pPr>
        <w:jc w:val="center"/>
        <w:rPr>
          <w:b/>
          <w:sz w:val="28"/>
          <w:szCs w:val="28"/>
        </w:rPr>
      </w:pPr>
      <w:r w:rsidRPr="00E025CE">
        <w:rPr>
          <w:b/>
          <w:sz w:val="28"/>
          <w:szCs w:val="28"/>
        </w:rPr>
        <w:t xml:space="preserve">В АЛАТЫРСКОМ РАЙОНЕ ЧУВАШСКОЙ РЕСПУБЛИКИ </w:t>
      </w:r>
    </w:p>
    <w:p w:rsidR="00E04CA1" w:rsidRPr="00E025CE" w:rsidRDefault="00E04CA1" w:rsidP="0005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</w:t>
      </w:r>
      <w:r w:rsidRPr="00E025CE">
        <w:rPr>
          <w:b/>
          <w:sz w:val="28"/>
          <w:szCs w:val="28"/>
        </w:rPr>
        <w:t xml:space="preserve"> ГОДУ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0545DB">
      <w:pPr>
        <w:ind w:firstLine="709"/>
        <w:jc w:val="center"/>
        <w:rPr>
          <w:b/>
          <w:sz w:val="28"/>
          <w:szCs w:val="28"/>
        </w:rPr>
      </w:pPr>
      <w:r w:rsidRPr="00E025CE">
        <w:rPr>
          <w:b/>
          <w:sz w:val="28"/>
          <w:szCs w:val="28"/>
        </w:rPr>
        <w:t>Введение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0545DB">
      <w:pPr>
        <w:pStyle w:val="1"/>
        <w:framePr w:w="0" w:hRule="auto" w:hSpace="0" w:wrap="auto" w:vAnchor="margin" w:hAnchor="text" w:xAlign="left" w:yAlign="inlin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025CE">
        <w:rPr>
          <w:rFonts w:ascii="Times New Roman" w:hAnsi="Times New Roman"/>
          <w:b w:val="0"/>
          <w:sz w:val="28"/>
          <w:szCs w:val="28"/>
        </w:rPr>
        <w:t xml:space="preserve">Основой для реализации направлений государственной политики в области охраны труда на территории  Алатырского района Чувашской Республики является Трудовой кодекс РФ, подпрограмма «Улучшение условий труда, охраны труда и здоровья работающих в Чувашской Республике» государственной программы Чувашской Республики «Содействие занятости населения» на 2012-2020 годы, утверждённой </w:t>
      </w:r>
      <w:hyperlink r:id="rId6" w:history="1">
        <w:r w:rsidRPr="00E025CE">
          <w:rPr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E025CE">
        <w:rPr>
          <w:rFonts w:ascii="Times New Roman" w:hAnsi="Times New Roman"/>
          <w:b w:val="0"/>
          <w:sz w:val="28"/>
          <w:szCs w:val="28"/>
        </w:rPr>
        <w:t xml:space="preserve"> Кабинета Министров Чувашской Республики от </w:t>
      </w:r>
      <w:r w:rsidRPr="006260E5">
        <w:rPr>
          <w:rFonts w:ascii="Times New Roman" w:hAnsi="Times New Roman"/>
          <w:b w:val="0"/>
          <w:sz w:val="28"/>
          <w:szCs w:val="28"/>
        </w:rPr>
        <w:t>30.08.2011</w:t>
      </w:r>
      <w:r w:rsidRPr="005B3E68">
        <w:rPr>
          <w:rFonts w:ascii="Times New Roman" w:hAnsi="Times New Roman"/>
          <w:b w:val="0"/>
          <w:color w:val="FF0000"/>
          <w:sz w:val="28"/>
          <w:szCs w:val="28"/>
          <w:u w:val="single"/>
        </w:rPr>
        <w:t xml:space="preserve"> </w:t>
      </w:r>
      <w:r w:rsidRPr="006260E5">
        <w:rPr>
          <w:rFonts w:ascii="Times New Roman" w:hAnsi="Times New Roman"/>
          <w:b w:val="0"/>
          <w:sz w:val="28"/>
          <w:szCs w:val="28"/>
        </w:rPr>
        <w:t>№ 362</w:t>
      </w:r>
      <w:r w:rsidRPr="00E025CE">
        <w:rPr>
          <w:rFonts w:ascii="Times New Roman" w:hAnsi="Times New Roman"/>
          <w:b w:val="0"/>
          <w:sz w:val="28"/>
          <w:szCs w:val="28"/>
        </w:rPr>
        <w:t>, постановление администрации  Алатырского района Чувашской Республики от 30.12.2013  № 764 «Об утверждении муниципальной программы  «Содействие занятости населения Алатырского района на 2014-2020 годы».</w:t>
      </w:r>
    </w:p>
    <w:p w:rsidR="00E04CA1" w:rsidRPr="00E025CE" w:rsidRDefault="00E04CA1" w:rsidP="00771CB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Мероприятия программы направлены на снижение производственного травматизма и профессиональной заболеваемости, сохранение жизни и здоровья работников в процессе трудовой деятельности.</w:t>
      </w:r>
    </w:p>
    <w:p w:rsidR="00E04CA1" w:rsidRPr="00E025CE" w:rsidRDefault="00E04CA1" w:rsidP="00FC7ACF">
      <w:pPr>
        <w:ind w:firstLine="720"/>
        <w:rPr>
          <w:sz w:val="28"/>
          <w:szCs w:val="28"/>
        </w:rPr>
      </w:pPr>
      <w:r w:rsidRPr="00E025CE">
        <w:rPr>
          <w:sz w:val="28"/>
          <w:szCs w:val="28"/>
        </w:rPr>
        <w:t>Развитие муниципального управления охраной труда в Алатырском районе  направлено на реализацию законодательства о труде, об охране труда, повышение эффективности взаимодействия органов контроля и надзора, развитие социального партнерства, системы коллективно-договорных отношений.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Муниципальный доклад о состоянии условий и охраны труда в Алатырском ра</w:t>
      </w:r>
      <w:r>
        <w:rPr>
          <w:sz w:val="28"/>
          <w:szCs w:val="28"/>
        </w:rPr>
        <w:t>йоне Чувашской Республики в 2018</w:t>
      </w:r>
      <w:r w:rsidRPr="00E025CE">
        <w:rPr>
          <w:sz w:val="28"/>
          <w:szCs w:val="28"/>
        </w:rPr>
        <w:t xml:space="preserve"> году подготовлен </w:t>
      </w:r>
      <w:r w:rsidRPr="006260E5">
        <w:rPr>
          <w:sz w:val="28"/>
          <w:szCs w:val="28"/>
        </w:rPr>
        <w:t>отделом юридической службы</w:t>
      </w:r>
      <w:r w:rsidRPr="00E025CE">
        <w:rPr>
          <w:sz w:val="28"/>
          <w:szCs w:val="28"/>
        </w:rPr>
        <w:t xml:space="preserve"> администрации Алатырского района на основе данных:</w:t>
      </w:r>
    </w:p>
    <w:p w:rsidR="00E04CA1" w:rsidRPr="006260E5" w:rsidRDefault="00E04CA1" w:rsidP="000545DB">
      <w:pPr>
        <w:ind w:firstLine="709"/>
        <w:rPr>
          <w:sz w:val="28"/>
          <w:szCs w:val="28"/>
        </w:rPr>
      </w:pPr>
      <w:r w:rsidRPr="006260E5">
        <w:rPr>
          <w:sz w:val="28"/>
          <w:szCs w:val="28"/>
        </w:rPr>
        <w:t>- Государственного учреждения - регионального отделения Фонда социального страхования РФ по Чувашской Республике;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- Управления Федеральной службы по надзору в сфере защиты прав потребителей и благополучия человека по Чувашской Республике-Чувашии;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- Бюджетного учреждения Чувашской Республики «Центральная районная больница Алатырского района» Министерства здравоохранения Чувашской Республики;</w:t>
      </w:r>
    </w:p>
    <w:p w:rsidR="00E04CA1" w:rsidRPr="00E025CE" w:rsidRDefault="00E04CA1" w:rsidP="00DE06A9">
      <w:pPr>
        <w:rPr>
          <w:bCs/>
          <w:color w:val="333333"/>
          <w:sz w:val="28"/>
          <w:szCs w:val="28"/>
        </w:rPr>
      </w:pPr>
      <w:r w:rsidRPr="00E025CE">
        <w:rPr>
          <w:sz w:val="28"/>
          <w:szCs w:val="28"/>
        </w:rPr>
        <w:t xml:space="preserve">-  </w:t>
      </w:r>
      <w:r w:rsidRPr="006F181A">
        <w:rPr>
          <w:bCs/>
          <w:sz w:val="28"/>
          <w:szCs w:val="28"/>
        </w:rPr>
        <w:t>Отдела по сельскому хозяйству, экономике, экологии, имущественных и земельных отношений</w:t>
      </w:r>
      <w:r>
        <w:rPr>
          <w:bCs/>
          <w:sz w:val="28"/>
          <w:szCs w:val="28"/>
        </w:rPr>
        <w:t>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lastRenderedPageBreak/>
        <w:t>Настоящий муниципальный доклад состоит</w:t>
      </w:r>
      <w:r w:rsidRPr="00E025CE">
        <w:rPr>
          <w:color w:val="FF0000"/>
          <w:sz w:val="28"/>
          <w:szCs w:val="28"/>
        </w:rPr>
        <w:t xml:space="preserve"> </w:t>
      </w:r>
      <w:r w:rsidR="0035055F">
        <w:rPr>
          <w:color w:val="000000"/>
          <w:sz w:val="28"/>
          <w:szCs w:val="28"/>
        </w:rPr>
        <w:t>из</w:t>
      </w:r>
      <w:bookmarkStart w:id="0" w:name="_GoBack"/>
      <w:bookmarkEnd w:id="0"/>
      <w:r w:rsidRPr="00B82468">
        <w:rPr>
          <w:color w:val="000000"/>
          <w:sz w:val="28"/>
          <w:szCs w:val="28"/>
        </w:rPr>
        <w:t xml:space="preserve"> 5  разделов.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EB768C">
      <w:pPr>
        <w:ind w:firstLine="720"/>
        <w:jc w:val="center"/>
        <w:rPr>
          <w:b/>
          <w:sz w:val="28"/>
          <w:szCs w:val="28"/>
        </w:rPr>
      </w:pPr>
      <w:r w:rsidRPr="00E025CE">
        <w:rPr>
          <w:b/>
          <w:sz w:val="28"/>
          <w:szCs w:val="28"/>
        </w:rPr>
        <w:t>Раздел 1. Муниципальное управление охраной труда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Охрана труда — система обеспечения безопасности жизни и здоровья работников в процессе трудовой деятельности, включающая правовые, социально-экономические, санитарно-гигиенические, психо</w:t>
      </w:r>
      <w:r w:rsidRPr="00E025CE">
        <w:rPr>
          <w:sz w:val="28"/>
          <w:szCs w:val="28"/>
        </w:rPr>
        <w:softHyphen/>
        <w:t xml:space="preserve">физические, лечебно-профилактические, реабилитационные и иные мероприятия. 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Работа по улучшению условий и охраны труда имеет комплексный и целенаправленный характер. Состояние безопасности труда предусматривает взаимодействие органов государственной власти, органов местного самоуправления, объединения работодателей и работников. Сформированная система управления охраной труда позволяет реализовывать законодательные требования, обеспечивать взаимодействие заинтересованных органов, предупреждать производственный травматизм, оказывать практическую помощь работодателям Алатырского района.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E025CE">
        <w:rPr>
          <w:sz w:val="28"/>
          <w:szCs w:val="28"/>
        </w:rPr>
        <w:t xml:space="preserve"> году действовала подпрограмма «Улучшение условий труда, охраны труда и здоровья работающих в Чувашской Республике» государственной программы Чувашской Республики «Содействие занятости населения» на 2012-2020 годы, утверждённой </w:t>
      </w:r>
      <w:hyperlink r:id="rId7" w:history="1">
        <w:r w:rsidRPr="00E025CE">
          <w:rPr>
            <w:sz w:val="28"/>
            <w:szCs w:val="28"/>
          </w:rPr>
          <w:t>постановлением</w:t>
        </w:r>
      </w:hyperlink>
      <w:r w:rsidRPr="00E025CE">
        <w:rPr>
          <w:sz w:val="28"/>
          <w:szCs w:val="28"/>
        </w:rPr>
        <w:t xml:space="preserve"> Кабинета </w:t>
      </w:r>
      <w:r w:rsidRPr="006F181A">
        <w:rPr>
          <w:sz w:val="28"/>
          <w:szCs w:val="28"/>
        </w:rPr>
        <w:t>Министров Чувашской Республики от 30.08.2011 № 362</w:t>
      </w:r>
      <w:r w:rsidRPr="00E025CE">
        <w:rPr>
          <w:sz w:val="28"/>
          <w:szCs w:val="28"/>
        </w:rPr>
        <w:t xml:space="preserve"> и подпрограммы «Улучшение условий, охраны труда и здоровья работающих в Алатырском районе Чувашской Республики» муниципальной программы Алатырского района  «Содействие занятости населения</w:t>
      </w:r>
      <w:r w:rsidRPr="00E025CE">
        <w:rPr>
          <w:b/>
          <w:sz w:val="28"/>
          <w:szCs w:val="28"/>
        </w:rPr>
        <w:t xml:space="preserve"> </w:t>
      </w:r>
      <w:r w:rsidRPr="006F181A">
        <w:rPr>
          <w:sz w:val="28"/>
          <w:szCs w:val="28"/>
        </w:rPr>
        <w:t>Алатырского района</w:t>
      </w:r>
      <w:r w:rsidRPr="00E025CE">
        <w:rPr>
          <w:sz w:val="28"/>
          <w:szCs w:val="28"/>
        </w:rPr>
        <w:t xml:space="preserve"> на 2014-2020 годы», утвержденной постановлением администрации от 30.12.2013 г.</w:t>
      </w:r>
      <w:r>
        <w:rPr>
          <w:sz w:val="28"/>
          <w:szCs w:val="28"/>
        </w:rPr>
        <w:t xml:space="preserve"> </w:t>
      </w:r>
      <w:r w:rsidRPr="00E025CE">
        <w:rPr>
          <w:sz w:val="28"/>
          <w:szCs w:val="28"/>
        </w:rPr>
        <w:t>№ 764. Программа разрабатывалась в целях повышения эффективности основных направлений государственного управления охраной труда на территории Алатырского района, оказания информационного содействия работодателям по вопросам охраны труда, улучшения системы обучения и проверки знаний требований охраны труда.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 xml:space="preserve">В соответствии с Законом Чувашской Республики от 02 мая 2013 года № 16 « О внесении изменений в Закон Чувашской Республики «О наделении органов местного самоуправления в Чувашской Республике отдельными государственными полномочиями» обеспечение реализации основных направлений государственной политики в области охраны труда в муниципальных образованиях Чувашской Республики с 1 июля </w:t>
      </w:r>
      <w:smartTag w:uri="urn:schemas-microsoft-com:office:smarttags" w:element="metricconverter">
        <w:smartTagPr>
          <w:attr w:name="ProductID" w:val="2018 г"/>
        </w:smartTagPr>
        <w:r w:rsidRPr="00E025CE">
          <w:rPr>
            <w:sz w:val="28"/>
            <w:szCs w:val="28"/>
          </w:rPr>
          <w:t>2013 г</w:t>
        </w:r>
      </w:smartTag>
      <w:r w:rsidRPr="00E025CE">
        <w:rPr>
          <w:sz w:val="28"/>
          <w:szCs w:val="28"/>
        </w:rPr>
        <w:t>. возложено на органы местного самоуправления.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Современная система управления охраной труда на муниципальном уровне включает в себя специалиста по охране труда, Координационный совет по охране и условиям труда администрации Алатырского района Чувашской Республики. Они осуществляют основные направления государственной политики в области охраны труда, взаимодействуют с органами надзора и контроля, профсоюзами, работодателями.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Муниципальная система управления охраной труда способствует развитию социального партнерства в Алатырском районе.</w:t>
      </w:r>
    </w:p>
    <w:p w:rsidR="00E04CA1" w:rsidRPr="004842F0" w:rsidRDefault="00E04CA1" w:rsidP="004842F0">
      <w:pPr>
        <w:ind w:firstLine="709"/>
        <w:rPr>
          <w:sz w:val="28"/>
          <w:szCs w:val="28"/>
        </w:rPr>
      </w:pPr>
      <w:r w:rsidRPr="004842F0">
        <w:rPr>
          <w:sz w:val="28"/>
          <w:szCs w:val="28"/>
        </w:rPr>
        <w:lastRenderedPageBreak/>
        <w:t xml:space="preserve">Для обеспечения регулирования социально-трудовых отношений, ведения коллективных переговоров между администрацией  Алатырского района Чувашской Республики, объединением работодателей Алатырского района Чувашской Республики и  Координационным советом организаций профсоюзов заключено территориальное трехстороннее Соглашение о социальном партнёрстве на 2018-2020г.г. от 12.02.2018г. № 253. </w:t>
      </w:r>
    </w:p>
    <w:p w:rsidR="00E04CA1" w:rsidRPr="006260E5" w:rsidRDefault="00E04CA1" w:rsidP="000545DB">
      <w:pPr>
        <w:ind w:firstLine="709"/>
        <w:rPr>
          <w:color w:val="FF0000"/>
          <w:sz w:val="28"/>
          <w:szCs w:val="28"/>
        </w:rPr>
      </w:pPr>
      <w:r w:rsidRPr="00E025CE">
        <w:rPr>
          <w:sz w:val="28"/>
          <w:szCs w:val="28"/>
        </w:rPr>
        <w:t xml:space="preserve">Основным правовым документом, регулирующим социально-трудовые отношения между работниками и работодателями, является коллективный договор. Уведомительную регистрацию коллективных </w:t>
      </w:r>
      <w:r>
        <w:rPr>
          <w:sz w:val="28"/>
          <w:szCs w:val="28"/>
        </w:rPr>
        <w:t xml:space="preserve">договоров и соглашений в </w:t>
      </w:r>
      <w:r w:rsidRPr="0030055F">
        <w:rPr>
          <w:sz w:val="28"/>
          <w:szCs w:val="28"/>
        </w:rPr>
        <w:t>2018 году провели 11 организаций Алатырского</w:t>
      </w:r>
      <w:r w:rsidRPr="006260E5">
        <w:rPr>
          <w:sz w:val="28"/>
          <w:szCs w:val="28"/>
        </w:rPr>
        <w:t xml:space="preserve"> района.</w:t>
      </w:r>
      <w:r w:rsidRPr="006260E5">
        <w:rPr>
          <w:color w:val="FF0000"/>
          <w:sz w:val="28"/>
          <w:szCs w:val="28"/>
        </w:rPr>
        <w:t xml:space="preserve"> 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F800EC">
        <w:rPr>
          <w:sz w:val="28"/>
          <w:szCs w:val="28"/>
        </w:rPr>
        <w:t>В процессе заключения коллективных договоров профсоюзы остаются одной из наиболее заинтересованных сторон социального партнерства, они осуществляют контроль за выполнением коллективного договора через уполномоченных лиц, входят в состав комиссии по охране труда.</w:t>
      </w:r>
    </w:p>
    <w:p w:rsidR="00E04CA1" w:rsidRPr="00E025CE" w:rsidRDefault="00E04CA1" w:rsidP="006B3810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>Большой проблемой остается принятие коллективных договоров у индивидуальных предпринимателей-работодателей, которые, в большинстве случаев, заключают  неформальные отношения трудового найма, что затрудняет регулирование социально-трудовых отношений и, тем более, социальное партнерство.</w:t>
      </w:r>
    </w:p>
    <w:p w:rsidR="00E04CA1" w:rsidRPr="003568D1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 xml:space="preserve">Важное место в системе муниципального управления охраной труда занимает работа Координационного совета по охране и условиям труда администрации Алатырского района Чувашской Республики, в состав которого  входят должностные лица администрации Алатырского района, </w:t>
      </w:r>
      <w:r w:rsidRPr="003568D1">
        <w:rPr>
          <w:sz w:val="28"/>
          <w:szCs w:val="28"/>
        </w:rPr>
        <w:t>КУ ЧР «Центр занятости населения города Алатыря» Минтруда Чувашии,  БУ «Центральная районная больница Алатырского района»</w:t>
      </w:r>
      <w:r>
        <w:rPr>
          <w:sz w:val="28"/>
          <w:szCs w:val="28"/>
        </w:rPr>
        <w:t xml:space="preserve"> </w:t>
      </w:r>
      <w:proofErr w:type="spellStart"/>
      <w:r w:rsidRPr="003568D1">
        <w:rPr>
          <w:sz w:val="28"/>
          <w:szCs w:val="28"/>
        </w:rPr>
        <w:t>Минздравсоцразвития</w:t>
      </w:r>
      <w:proofErr w:type="spellEnd"/>
      <w:r w:rsidRPr="003568D1">
        <w:rPr>
          <w:sz w:val="28"/>
          <w:szCs w:val="28"/>
        </w:rPr>
        <w:t xml:space="preserve"> Чувашии, председатель Координационного совета профсоюзов Алатырского района.</w:t>
      </w:r>
    </w:p>
    <w:p w:rsidR="00E04CA1" w:rsidRDefault="00E04CA1" w:rsidP="006B3810">
      <w:pPr>
        <w:rPr>
          <w:sz w:val="28"/>
          <w:szCs w:val="28"/>
        </w:rPr>
      </w:pPr>
      <w:r>
        <w:rPr>
          <w:sz w:val="28"/>
          <w:szCs w:val="28"/>
        </w:rPr>
        <w:t>На территории Алатырского района осуществляет работу Трехсторонняя комиссия</w:t>
      </w:r>
      <w:r w:rsidRPr="006B3810">
        <w:rPr>
          <w:sz w:val="28"/>
          <w:szCs w:val="28"/>
        </w:rPr>
        <w:t xml:space="preserve"> по регулированию социально-трудовых отношений Алатырского района Чувашской Республики</w:t>
      </w:r>
      <w:r>
        <w:rPr>
          <w:sz w:val="28"/>
          <w:szCs w:val="28"/>
        </w:rPr>
        <w:t xml:space="preserve">. </w:t>
      </w:r>
    </w:p>
    <w:p w:rsidR="00E04CA1" w:rsidRPr="00755B2E" w:rsidRDefault="00E04CA1" w:rsidP="006B3810">
      <w:pPr>
        <w:rPr>
          <w:sz w:val="28"/>
          <w:szCs w:val="28"/>
        </w:rPr>
      </w:pPr>
      <w:r>
        <w:rPr>
          <w:sz w:val="28"/>
          <w:szCs w:val="28"/>
        </w:rPr>
        <w:t>Особое место в работе специалиста по трудовым отношениям администрации Алатырского района занимает прием посетителей по вопросам охраны труда, в том числе по заполнению и ведению журналов регистрации, по организации и проведению обучения по охране труда.</w:t>
      </w:r>
    </w:p>
    <w:p w:rsidR="00E04CA1" w:rsidRPr="00EC6099" w:rsidRDefault="00E04CA1" w:rsidP="000545DB">
      <w:pPr>
        <w:ind w:firstLine="709"/>
        <w:rPr>
          <w:sz w:val="28"/>
          <w:szCs w:val="28"/>
        </w:rPr>
      </w:pPr>
      <w:r>
        <w:t xml:space="preserve">Согласно статистическим данным в Алатырского районе </w:t>
      </w:r>
      <w:r w:rsidRPr="00376AE2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на 01 января 2018</w:t>
      </w:r>
      <w:r w:rsidRPr="00EC6099">
        <w:rPr>
          <w:sz w:val="28"/>
          <w:szCs w:val="28"/>
        </w:rPr>
        <w:t> года в Алатырском райо</w:t>
      </w:r>
      <w:r>
        <w:rPr>
          <w:sz w:val="28"/>
          <w:szCs w:val="28"/>
        </w:rPr>
        <w:t xml:space="preserve">не осуществляют деятельность 346 </w:t>
      </w:r>
      <w:r w:rsidRPr="00EC6099">
        <w:rPr>
          <w:sz w:val="28"/>
          <w:szCs w:val="28"/>
        </w:rPr>
        <w:t xml:space="preserve"> работодателей  с численностью работников </w:t>
      </w:r>
      <w:r w:rsidRPr="0030055F">
        <w:rPr>
          <w:sz w:val="28"/>
          <w:szCs w:val="28"/>
        </w:rPr>
        <w:t>2315тыс. человек</w:t>
      </w:r>
      <w:r>
        <w:t>, в том числе 5  организаций имеют численность работающих свыше 50 человек</w:t>
      </w:r>
      <w:r>
        <w:rPr>
          <w:sz w:val="28"/>
          <w:szCs w:val="28"/>
        </w:rPr>
        <w:t xml:space="preserve">. </w:t>
      </w:r>
      <w:r w:rsidRPr="00EC6099">
        <w:rPr>
          <w:sz w:val="28"/>
          <w:szCs w:val="28"/>
        </w:rPr>
        <w:t>Служб по  охране  труда</w:t>
      </w:r>
      <w:r>
        <w:rPr>
          <w:sz w:val="28"/>
          <w:szCs w:val="28"/>
        </w:rPr>
        <w:t xml:space="preserve"> в Алатырском районе не имеется. Специалистов в организациях по охране труда по </w:t>
      </w:r>
      <w:proofErr w:type="spellStart"/>
      <w:r>
        <w:rPr>
          <w:sz w:val="28"/>
          <w:szCs w:val="28"/>
        </w:rPr>
        <w:t>Алатырскому</w:t>
      </w:r>
      <w:proofErr w:type="spellEnd"/>
      <w:r>
        <w:rPr>
          <w:sz w:val="28"/>
          <w:szCs w:val="28"/>
        </w:rPr>
        <w:t xml:space="preserve"> району 30 человек. </w:t>
      </w:r>
    </w:p>
    <w:p w:rsidR="00E04CA1" w:rsidRDefault="00E04CA1" w:rsidP="000545DB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bookmarkStart w:id="1" w:name="sub_1003"/>
    </w:p>
    <w:p w:rsidR="00E04CA1" w:rsidRPr="00E025CE" w:rsidRDefault="00E04CA1" w:rsidP="000545DB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E025CE">
        <w:rPr>
          <w:rFonts w:ascii="Times New Roman" w:hAnsi="Times New Roman"/>
          <w:sz w:val="28"/>
          <w:szCs w:val="28"/>
        </w:rPr>
        <w:t>Раздел 2. Производственный травматизм в Алатырском районе</w:t>
      </w:r>
    </w:p>
    <w:bookmarkEnd w:id="1"/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 xml:space="preserve">Травматизм на производстве характеризуется числом лиц, пострадавших при несчастных случаях на производстве с утратой </w:t>
      </w:r>
      <w:r w:rsidRPr="00E025CE">
        <w:rPr>
          <w:sz w:val="28"/>
          <w:szCs w:val="28"/>
        </w:rPr>
        <w:lastRenderedPageBreak/>
        <w:t>трудоспособности на один рабочий день и более или со смертельным исходом при непосредственном исполнении ими трудовых обязанностей и подлежащих учету.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color w:val="000000"/>
          <w:sz w:val="28"/>
          <w:szCs w:val="28"/>
        </w:rPr>
        <w:t>Здоровье, безопасность и благополучие работающих являются одним из главных факторов повышения производительности труда, конкурентоспособности и стабильности предприятий и отраслей экономики. Гарантии здоровья и обеспечение безопасных условий на рабочем месте являются главным условием предотвращения работодателем экономических потерь, связанных с временной утратой трудоспособности работников.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 2018</w:t>
      </w:r>
      <w:r w:rsidRPr="00E025CE">
        <w:rPr>
          <w:sz w:val="28"/>
          <w:szCs w:val="28"/>
        </w:rPr>
        <w:t xml:space="preserve">  год в Алатырском районе несчастных случаев на производстве не зарегистрировано. 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0545DB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bookmarkStart w:id="2" w:name="sub_1004"/>
      <w:r w:rsidRPr="00E025CE">
        <w:rPr>
          <w:rFonts w:ascii="Times New Roman" w:hAnsi="Times New Roman"/>
          <w:sz w:val="28"/>
          <w:szCs w:val="28"/>
        </w:rPr>
        <w:t>Раздел 3. Условия труда и профессиональная заболеваемость</w:t>
      </w:r>
    </w:p>
    <w:p w:rsidR="00E04CA1" w:rsidRPr="00E025CE" w:rsidRDefault="00E04CA1" w:rsidP="009B5A16">
      <w:pPr>
        <w:rPr>
          <w:sz w:val="28"/>
          <w:szCs w:val="28"/>
        </w:rPr>
      </w:pPr>
      <w:r>
        <w:rPr>
          <w:sz w:val="28"/>
          <w:szCs w:val="28"/>
        </w:rPr>
        <w:t>Условия труда – это совокупность факторов производственной среды и трудового процесса, оказывающих влияние на работоспособность и здоровье работника. Вредные и (или) опасные условия труда – это условия труда, при которых на работающих оказывается воздействие производственных факторов, что может привести к заболеванию или травме работников. Создание безопасных условий труда, модернизация оборудования и охраны труда ведут к снижению производственного травматизма и количества профессиональных заболеваний. Обеспечение безопасных условий и охраны труда является обязанностью работодателя.</w:t>
      </w:r>
    </w:p>
    <w:p w:rsidR="00E04CA1" w:rsidRPr="00E025CE" w:rsidRDefault="00E04CA1" w:rsidP="009B5A16">
      <w:pPr>
        <w:rPr>
          <w:color w:val="000000"/>
          <w:sz w:val="28"/>
          <w:szCs w:val="28"/>
          <w:shd w:val="clear" w:color="auto" w:fill="FFFFFF"/>
        </w:rPr>
      </w:pPr>
      <w:r w:rsidRPr="00E025CE">
        <w:rPr>
          <w:color w:val="000000"/>
          <w:sz w:val="28"/>
          <w:szCs w:val="28"/>
          <w:shd w:val="clear" w:color="auto" w:fill="FFFFFF"/>
        </w:rPr>
        <w:t>Факторы производственной среды могут оказывать на работающих вредное воздействие. Вредным производственным фактором называется фактор среды и трудового процесса, воздействие которого на работающего при определен</w:t>
      </w:r>
      <w:r w:rsidRPr="00E025CE">
        <w:rPr>
          <w:color w:val="000000"/>
          <w:sz w:val="28"/>
          <w:szCs w:val="28"/>
          <w:shd w:val="clear" w:color="auto" w:fill="FFFFFF"/>
        </w:rPr>
        <w:softHyphen/>
        <w:t>ных условиях (интенсивность, длительность и др.) может вызвать профессио</w:t>
      </w:r>
      <w:r w:rsidRPr="00E025CE">
        <w:rPr>
          <w:color w:val="000000"/>
          <w:sz w:val="28"/>
          <w:szCs w:val="28"/>
          <w:shd w:val="clear" w:color="auto" w:fill="FFFFFF"/>
        </w:rPr>
        <w:softHyphen/>
        <w:t>нальное заболевание, временное или стойкое снижение работоспособности, повысить частоту соматических и инфекционных заболеваний, привести к нарушению здоровья потомства. Важнейшей задачей профилактики про</w:t>
      </w:r>
      <w:r w:rsidRPr="00E025CE">
        <w:rPr>
          <w:color w:val="000000"/>
          <w:sz w:val="28"/>
          <w:szCs w:val="28"/>
          <w:shd w:val="clear" w:color="auto" w:fill="FFFFFF"/>
        </w:rPr>
        <w:softHyphen/>
        <w:t>фессиональных заболеваний является обеспечение оптимальных условий тру</w:t>
      </w:r>
      <w:r w:rsidRPr="00E025CE">
        <w:rPr>
          <w:color w:val="000000"/>
          <w:sz w:val="28"/>
          <w:szCs w:val="28"/>
          <w:shd w:val="clear" w:color="auto" w:fill="FFFFFF"/>
        </w:rPr>
        <w:softHyphen/>
        <w:t>дового процесса.</w:t>
      </w:r>
    </w:p>
    <w:p w:rsidR="00E04CA1" w:rsidRPr="00E025CE" w:rsidRDefault="00E04CA1" w:rsidP="009B5A16">
      <w:pPr>
        <w:rPr>
          <w:color w:val="000000"/>
          <w:sz w:val="28"/>
          <w:szCs w:val="28"/>
          <w:shd w:val="clear" w:color="auto" w:fill="FFFFFF"/>
        </w:rPr>
      </w:pPr>
      <w:r w:rsidRPr="00E025CE">
        <w:rPr>
          <w:color w:val="000000"/>
          <w:sz w:val="28"/>
          <w:szCs w:val="28"/>
          <w:shd w:val="clear" w:color="auto" w:fill="FFFFFF"/>
        </w:rPr>
        <w:t>С 1 января 2014 года работодатели обязаны проводить специальную оценку условий труда (Федеральный закон от 28 декабря 2013 г. № 426-ФЗ "</w:t>
      </w:r>
      <w:hyperlink r:id="rId8" w:history="1">
        <w:r w:rsidRPr="00E025CE">
          <w:rPr>
            <w:color w:val="000000"/>
            <w:sz w:val="28"/>
            <w:szCs w:val="28"/>
            <w:bdr w:val="none" w:sz="0" w:space="0" w:color="auto" w:frame="1"/>
          </w:rPr>
          <w:t>О специальной оценке условий труда</w:t>
        </w:r>
      </w:hyperlink>
      <w:r w:rsidRPr="00E025CE">
        <w:rPr>
          <w:color w:val="000000"/>
          <w:sz w:val="28"/>
          <w:szCs w:val="28"/>
          <w:shd w:val="clear" w:color="auto" w:fill="FFFFFF"/>
        </w:rPr>
        <w:t xml:space="preserve">"; далее – Закон № 426-ФЗ). Специальная оценка условий труда – это комплекс мероприятий для обнаружения потенциально вредных или опасных факторов производственной среды и трудового процесса, а также оценки уровня их воздействия на работников.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Спецоценка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25CE">
        <w:rPr>
          <w:color w:val="000000"/>
          <w:sz w:val="28"/>
          <w:szCs w:val="28"/>
          <w:shd w:val="clear" w:color="auto" w:fill="FFFFFF"/>
        </w:rPr>
        <w:t>заменила ранее действовавшую аттестацию рабочих мест.</w:t>
      </w:r>
    </w:p>
    <w:p w:rsidR="00E04CA1" w:rsidRDefault="00E04CA1" w:rsidP="009B5A16">
      <w:pPr>
        <w:rPr>
          <w:color w:val="000000"/>
          <w:sz w:val="28"/>
          <w:szCs w:val="28"/>
          <w:shd w:val="clear" w:color="auto" w:fill="FFFFFF"/>
        </w:rPr>
      </w:pPr>
      <w:r w:rsidRPr="00E025CE">
        <w:rPr>
          <w:color w:val="000000"/>
          <w:sz w:val="28"/>
          <w:szCs w:val="28"/>
          <w:shd w:val="clear" w:color="auto" w:fill="FFFFFF"/>
        </w:rPr>
        <w:t>Обеспечение безопасных условий труда работника – это одна из основных обязанностей работодателя </w:t>
      </w:r>
      <w:hyperlink r:id="rId9" w:tgtFrame="_blank" w:history="1">
        <w:r w:rsidRPr="00A964D2">
          <w:rPr>
            <w:color w:val="000000"/>
            <w:sz w:val="28"/>
            <w:szCs w:val="28"/>
            <w:shd w:val="clear" w:color="auto" w:fill="FFFFFF"/>
          </w:rPr>
          <w:t>по трудовому договору</w:t>
        </w:r>
      </w:hyperlink>
      <w:r w:rsidRPr="00A964D2">
        <w:rPr>
          <w:color w:val="000000"/>
          <w:sz w:val="28"/>
          <w:szCs w:val="28"/>
          <w:shd w:val="clear" w:color="auto" w:fill="FFFFFF"/>
        </w:rPr>
        <w:t>, и предусмотрена она статьей 212 ТК РФ.</w:t>
      </w:r>
    </w:p>
    <w:p w:rsidR="00E04CA1" w:rsidRPr="00A964D2" w:rsidRDefault="00E04CA1" w:rsidP="009B5A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Всего в 2018году в 21 организации проведена СОУТ на 619 рабочих местах .По итогам СОУТ на 619 рабочих местах(100%) условия труда признаны оптимальные и допустимыми.</w:t>
      </w:r>
    </w:p>
    <w:bookmarkEnd w:id="2"/>
    <w:p w:rsidR="00E04CA1" w:rsidRPr="00E025CE" w:rsidRDefault="00E04CA1" w:rsidP="008378A2">
      <w:pPr>
        <w:ind w:firstLine="0"/>
        <w:rPr>
          <w:color w:val="000000"/>
          <w:sz w:val="28"/>
          <w:szCs w:val="28"/>
        </w:rPr>
      </w:pPr>
      <w:r w:rsidRPr="00E025CE">
        <w:rPr>
          <w:sz w:val="28"/>
          <w:szCs w:val="28"/>
        </w:rPr>
        <w:lastRenderedPageBreak/>
        <w:t xml:space="preserve">        На территории Алатырского района отмечается  тенденция снижения профессиональных заболеваний, </w:t>
      </w:r>
      <w:r>
        <w:rPr>
          <w:color w:val="000000"/>
          <w:sz w:val="28"/>
          <w:szCs w:val="28"/>
        </w:rPr>
        <w:t>так как за 2018</w:t>
      </w:r>
      <w:r w:rsidRPr="00E025CE">
        <w:rPr>
          <w:color w:val="000000"/>
          <w:sz w:val="28"/>
          <w:szCs w:val="28"/>
        </w:rPr>
        <w:t xml:space="preserve"> год случаев профессиональных заболеваний среди работающего населения не зарегистрировано. </w:t>
      </w:r>
    </w:p>
    <w:p w:rsidR="00E04CA1" w:rsidRDefault="00E04CA1" w:rsidP="00F90FF1">
      <w:pPr>
        <w:ind w:firstLine="0"/>
        <w:rPr>
          <w:sz w:val="28"/>
          <w:szCs w:val="28"/>
        </w:rPr>
      </w:pPr>
      <w:r w:rsidRPr="00376AE2">
        <w:rPr>
          <w:sz w:val="28"/>
          <w:szCs w:val="28"/>
        </w:rPr>
        <w:t xml:space="preserve">        </w:t>
      </w:r>
      <w:r w:rsidRPr="00984F4B">
        <w:rPr>
          <w:sz w:val="28"/>
          <w:szCs w:val="28"/>
        </w:rPr>
        <w:t>В 2018 году по представленным спискам 808 человек подлежало периодическим медосмотрам, из них с вредными и опасными условиями труда  33 человек, осмотрено 808, или 100  % от числа подлежавших осмотру. Периодический  медицинский осмотр проведен  в двух сельхозпредприятиях района: СПК «</w:t>
      </w:r>
      <w:proofErr w:type="spellStart"/>
      <w:r w:rsidRPr="00984F4B">
        <w:rPr>
          <w:sz w:val="28"/>
          <w:szCs w:val="28"/>
        </w:rPr>
        <w:t>Рассветовский</w:t>
      </w:r>
      <w:proofErr w:type="spellEnd"/>
      <w:r w:rsidRPr="00984F4B">
        <w:rPr>
          <w:sz w:val="28"/>
          <w:szCs w:val="28"/>
        </w:rPr>
        <w:t>» 8 человек,</w:t>
      </w:r>
      <w:r>
        <w:rPr>
          <w:sz w:val="28"/>
          <w:szCs w:val="28"/>
        </w:rPr>
        <w:t xml:space="preserve"> </w:t>
      </w:r>
      <w:r w:rsidRPr="00984F4B">
        <w:rPr>
          <w:sz w:val="28"/>
          <w:szCs w:val="28"/>
        </w:rPr>
        <w:t>из них в т.ч.2 женщины,</w:t>
      </w:r>
      <w:r>
        <w:rPr>
          <w:sz w:val="28"/>
          <w:szCs w:val="28"/>
        </w:rPr>
        <w:t xml:space="preserve"> </w:t>
      </w:r>
      <w:r w:rsidRPr="00984F4B">
        <w:rPr>
          <w:sz w:val="28"/>
          <w:szCs w:val="28"/>
        </w:rPr>
        <w:t>БУ «</w:t>
      </w:r>
      <w:proofErr w:type="spellStart"/>
      <w:r w:rsidRPr="00984F4B">
        <w:rPr>
          <w:sz w:val="28"/>
          <w:szCs w:val="28"/>
        </w:rPr>
        <w:t>Алатырское</w:t>
      </w:r>
      <w:proofErr w:type="spellEnd"/>
      <w:r w:rsidRPr="00984F4B">
        <w:rPr>
          <w:sz w:val="28"/>
          <w:szCs w:val="28"/>
        </w:rPr>
        <w:t xml:space="preserve"> лесничество»</w:t>
      </w:r>
      <w:r>
        <w:rPr>
          <w:sz w:val="28"/>
          <w:szCs w:val="28"/>
        </w:rPr>
        <w:t xml:space="preserve"> 36 че</w:t>
      </w:r>
      <w:r w:rsidRPr="00984F4B">
        <w:rPr>
          <w:sz w:val="28"/>
          <w:szCs w:val="28"/>
        </w:rPr>
        <w:t>ловек,</w:t>
      </w:r>
      <w:r>
        <w:rPr>
          <w:sz w:val="28"/>
          <w:szCs w:val="28"/>
        </w:rPr>
        <w:t xml:space="preserve"> </w:t>
      </w:r>
      <w:r w:rsidRPr="00984F4B">
        <w:rPr>
          <w:sz w:val="28"/>
          <w:szCs w:val="28"/>
        </w:rPr>
        <w:t xml:space="preserve">из них в </w:t>
      </w:r>
      <w:proofErr w:type="spellStart"/>
      <w:r w:rsidRPr="00984F4B">
        <w:rPr>
          <w:sz w:val="28"/>
          <w:szCs w:val="28"/>
        </w:rPr>
        <w:t>т.ч</w:t>
      </w:r>
      <w:proofErr w:type="spellEnd"/>
      <w:r w:rsidRPr="00984F4B">
        <w:rPr>
          <w:sz w:val="28"/>
          <w:szCs w:val="28"/>
        </w:rPr>
        <w:t>. 9 женщин.</w:t>
      </w:r>
      <w:r w:rsidRPr="004C1C32">
        <w:rPr>
          <w:sz w:val="28"/>
          <w:szCs w:val="28"/>
        </w:rPr>
        <w:t xml:space="preserve"> </w:t>
      </w:r>
    </w:p>
    <w:p w:rsidR="00E04CA1" w:rsidRPr="00984F4B" w:rsidRDefault="00E04CA1" w:rsidP="005150E0">
      <w:pPr>
        <w:pStyle w:val="ad"/>
        <w:rPr>
          <w:b w:val="0"/>
          <w:szCs w:val="28"/>
        </w:rPr>
      </w:pPr>
      <w:r w:rsidRPr="00984F4B">
        <w:rPr>
          <w:b w:val="0"/>
          <w:szCs w:val="28"/>
        </w:rPr>
        <w:t xml:space="preserve">        За 2018 год диспансеризацию  прошли 1597  человек .</w:t>
      </w:r>
    </w:p>
    <w:p w:rsidR="00E04CA1" w:rsidRPr="00E025CE" w:rsidRDefault="00E04CA1" w:rsidP="00F90FF1">
      <w:pPr>
        <w:ind w:firstLine="708"/>
        <w:rPr>
          <w:color w:val="FF0000"/>
          <w:sz w:val="28"/>
          <w:szCs w:val="28"/>
        </w:rPr>
      </w:pPr>
    </w:p>
    <w:p w:rsidR="00E04CA1" w:rsidRPr="00E025CE" w:rsidRDefault="00E04CA1" w:rsidP="00F90FF1">
      <w:pPr>
        <w:jc w:val="center"/>
        <w:rPr>
          <w:b/>
          <w:sz w:val="28"/>
          <w:szCs w:val="28"/>
        </w:rPr>
      </w:pPr>
      <w:r w:rsidRPr="00E025CE">
        <w:rPr>
          <w:b/>
          <w:sz w:val="28"/>
          <w:szCs w:val="28"/>
        </w:rPr>
        <w:t>Раздел 4. Профилактика заболеваемости и оздоровление работающих</w:t>
      </w:r>
    </w:p>
    <w:p w:rsidR="00E04CA1" w:rsidRPr="00E025CE" w:rsidRDefault="00E04CA1" w:rsidP="008378A2">
      <w:pPr>
        <w:ind w:firstLine="0"/>
        <w:rPr>
          <w:color w:val="000000"/>
          <w:sz w:val="28"/>
          <w:szCs w:val="28"/>
        </w:rPr>
      </w:pPr>
    </w:p>
    <w:p w:rsidR="00E04CA1" w:rsidRDefault="00E04CA1" w:rsidP="00515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и с</w:t>
      </w:r>
      <w:r w:rsidRPr="002175F0">
        <w:rPr>
          <w:b/>
          <w:sz w:val="28"/>
          <w:szCs w:val="28"/>
        </w:rPr>
        <w:t>порт</w:t>
      </w:r>
    </w:p>
    <w:p w:rsidR="00E04CA1" w:rsidRDefault="00E04CA1" w:rsidP="005150E0">
      <w:pPr>
        <w:jc w:val="center"/>
        <w:rPr>
          <w:sz w:val="28"/>
          <w:szCs w:val="28"/>
        </w:rPr>
      </w:pPr>
    </w:p>
    <w:p w:rsidR="00E04CA1" w:rsidRDefault="00E04CA1" w:rsidP="005150E0">
      <w:pPr>
        <w:rPr>
          <w:sz w:val="28"/>
          <w:szCs w:val="28"/>
        </w:rPr>
      </w:pPr>
      <w:r>
        <w:rPr>
          <w:sz w:val="28"/>
          <w:szCs w:val="28"/>
        </w:rPr>
        <w:t xml:space="preserve">    В структуру организации физкультурно-спортивной работы в районе входят 13 общеобразовательных школ, МАУ ДО «ДЮСШ» Алатырского района, Центр развития творчества детей и юношества и 16 общественных клубов физкультурно-спортивной направленности.</w:t>
      </w:r>
    </w:p>
    <w:p w:rsidR="00E04CA1" w:rsidRDefault="00E04CA1" w:rsidP="005150E0">
      <w:pPr>
        <w:rPr>
          <w:sz w:val="28"/>
          <w:szCs w:val="28"/>
        </w:rPr>
      </w:pPr>
      <w:r>
        <w:rPr>
          <w:sz w:val="28"/>
          <w:szCs w:val="28"/>
        </w:rPr>
        <w:t xml:space="preserve">   Для занятий физкультурой и спортом в районе  имеются следующие  спортивные объекты: ФСК, стадион им. </w:t>
      </w:r>
      <w:proofErr w:type="spellStart"/>
      <w:r>
        <w:rPr>
          <w:sz w:val="28"/>
          <w:szCs w:val="28"/>
        </w:rPr>
        <w:t>А.Г.Николаева</w:t>
      </w:r>
      <w:proofErr w:type="spellEnd"/>
      <w:r>
        <w:rPr>
          <w:sz w:val="28"/>
          <w:szCs w:val="28"/>
        </w:rPr>
        <w:t xml:space="preserve">, лыжная база, спортзалы школ и спортивно-игровые площадки. </w:t>
      </w:r>
    </w:p>
    <w:p w:rsidR="00E04CA1" w:rsidRDefault="00E04CA1" w:rsidP="005150E0">
      <w:pPr>
        <w:rPr>
          <w:sz w:val="28"/>
          <w:szCs w:val="28"/>
        </w:rPr>
      </w:pPr>
      <w:r>
        <w:rPr>
          <w:sz w:val="28"/>
          <w:szCs w:val="28"/>
        </w:rPr>
        <w:t>В сельских поселениях на базе школ работают спортивные секции и кружки по линии районной ДЮСШ и Центра развития творчества детей и юношества. На местах проводятся спортивные мероприятия, Дни здоровья и спорта, мероприятия по внедрению комплекса ГТО.</w:t>
      </w:r>
    </w:p>
    <w:p w:rsidR="00E04CA1" w:rsidRDefault="00E04CA1" w:rsidP="005150E0">
      <w:pPr>
        <w:rPr>
          <w:sz w:val="28"/>
          <w:szCs w:val="28"/>
        </w:rPr>
      </w:pPr>
      <w:r>
        <w:rPr>
          <w:sz w:val="28"/>
          <w:szCs w:val="28"/>
        </w:rPr>
        <w:t>Ежегодно на уровне района проводится более 30 спортивных мероприятий по разным видам спорта. С 2015 года  ведется активная работа по внедрению комплекса ГТО.  В 2018 году к сдаче испытаний ГТО было привлечено более 320 человека, из них 272 – школьники и 48 человек – работники муниципальных учреждений.  По данным на 31.12 2018 г. обладателями золотых, серебряных и бронзовых знаков отличия ГТО стали 158 школьников и 13 муниципальных работников.</w:t>
      </w:r>
    </w:p>
    <w:p w:rsidR="00E04CA1" w:rsidRDefault="00E04CA1" w:rsidP="005150E0">
      <w:pPr>
        <w:rPr>
          <w:sz w:val="28"/>
          <w:szCs w:val="28"/>
        </w:rPr>
      </w:pPr>
      <w:r>
        <w:rPr>
          <w:sz w:val="28"/>
          <w:szCs w:val="28"/>
        </w:rPr>
        <w:t xml:space="preserve">    Спортсмены района  ежегодно от 25 до 30 раз принимают участие в  республиканских соревнованиях. </w:t>
      </w:r>
    </w:p>
    <w:p w:rsidR="00E04CA1" w:rsidRPr="00E025CE" w:rsidRDefault="00E04CA1" w:rsidP="005150E0">
      <w:pPr>
        <w:ind w:firstLine="0"/>
        <w:rPr>
          <w:b/>
          <w:sz w:val="28"/>
          <w:szCs w:val="28"/>
        </w:rPr>
      </w:pPr>
    </w:p>
    <w:p w:rsidR="00E04CA1" w:rsidRPr="00E025CE" w:rsidRDefault="00E04CA1" w:rsidP="009E3C11">
      <w:pPr>
        <w:ind w:firstLine="0"/>
        <w:rPr>
          <w:b/>
          <w:sz w:val="28"/>
          <w:szCs w:val="28"/>
        </w:rPr>
      </w:pPr>
      <w:r w:rsidRPr="00E025CE">
        <w:rPr>
          <w:color w:val="FF0000"/>
          <w:sz w:val="28"/>
          <w:szCs w:val="28"/>
        </w:rPr>
        <w:t xml:space="preserve">                       </w:t>
      </w:r>
      <w:r w:rsidRPr="00E025CE">
        <w:rPr>
          <w:b/>
          <w:sz w:val="28"/>
          <w:szCs w:val="28"/>
        </w:rPr>
        <w:t>Раздел 5. Задачи по улучшению условий и охраны труда</w:t>
      </w:r>
    </w:p>
    <w:p w:rsidR="00E04CA1" w:rsidRPr="00E025CE" w:rsidRDefault="00E04CA1" w:rsidP="00054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Алатырском районе на 2018</w:t>
      </w:r>
      <w:r w:rsidRPr="00E025CE">
        <w:rPr>
          <w:b/>
          <w:sz w:val="28"/>
          <w:szCs w:val="28"/>
        </w:rPr>
        <w:t xml:space="preserve"> год</w:t>
      </w:r>
    </w:p>
    <w:p w:rsidR="00E04CA1" w:rsidRPr="00E025CE" w:rsidRDefault="00E04CA1" w:rsidP="000545DB">
      <w:pPr>
        <w:ind w:firstLine="709"/>
        <w:rPr>
          <w:sz w:val="28"/>
          <w:szCs w:val="28"/>
        </w:rPr>
      </w:pPr>
    </w:p>
    <w:p w:rsidR="00E04CA1" w:rsidRPr="00E025CE" w:rsidRDefault="00E04CA1" w:rsidP="000545DB">
      <w:pPr>
        <w:ind w:firstLine="709"/>
        <w:rPr>
          <w:sz w:val="28"/>
          <w:szCs w:val="28"/>
        </w:rPr>
      </w:pPr>
      <w:r w:rsidRPr="00E025CE">
        <w:rPr>
          <w:sz w:val="28"/>
          <w:szCs w:val="28"/>
        </w:rPr>
        <w:t xml:space="preserve"> Состояние охраны труда в районе показывает, что проблемы охраны труда требуют решения комплекса правовых, организационных, социальных, экономических и других задач. Для решения этих задач на муниципальном уровне необходимо сосредоточить усилия на проведении следующей работы:</w:t>
      </w:r>
    </w:p>
    <w:p w:rsidR="00E04CA1" w:rsidRPr="007D7CF9" w:rsidRDefault="00E04CA1" w:rsidP="000545DB">
      <w:pPr>
        <w:pStyle w:val="ac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реализация мероприятий </w:t>
      </w:r>
      <w:r w:rsidRPr="007D7CF9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7D7CF9">
        <w:rPr>
          <w:rFonts w:ascii="Times New Roman" w:hAnsi="Times New Roman"/>
          <w:sz w:val="28"/>
          <w:szCs w:val="28"/>
        </w:rPr>
        <w:t>программы  Алатырского района  «Содействие занятости населения Алатырского района  на 2014-2020 годы»;</w:t>
      </w:r>
    </w:p>
    <w:p w:rsidR="00E04CA1" w:rsidRPr="00E025CE" w:rsidRDefault="00E04CA1" w:rsidP="000545DB">
      <w:pPr>
        <w:pStyle w:val="ac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совершенствование системы муниципального управления охраной труда путем осуществления следующих мероприятий:</w:t>
      </w:r>
    </w:p>
    <w:p w:rsidR="00E04CA1" w:rsidRPr="00E025CE" w:rsidRDefault="00E04CA1" w:rsidP="000545D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- разработка и принятие ежегодных муниципальных докладов о состоянии условий и охраны труда в Алатырском районе;</w:t>
      </w:r>
    </w:p>
    <w:p w:rsidR="00E04CA1" w:rsidRPr="00E025CE" w:rsidRDefault="00E04CA1" w:rsidP="000545D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- проведение  заседаний Координационного совета по охране  труда;</w:t>
      </w:r>
    </w:p>
    <w:p w:rsidR="00E04CA1" w:rsidRPr="00E025CE" w:rsidRDefault="00E04CA1" w:rsidP="000545D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- ежегодное проведение Месячника по охране труда,  Дней охраны труда, семинаров, совещаний и круглых столов по охране труда для руководителей и специалистов предприятий района перед началом весенне-полевых и лесопосадочных работ;</w:t>
      </w:r>
    </w:p>
    <w:p w:rsidR="00E04CA1" w:rsidRPr="00E025CE" w:rsidRDefault="00E04CA1" w:rsidP="000545D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- проведение смотров-конкурсов по охране труда среди организаций, конкурсов профессионального мастерства «Лучший специалист по охране труда района»;</w:t>
      </w:r>
    </w:p>
    <w:p w:rsidR="00E04CA1" w:rsidRPr="00E025CE" w:rsidRDefault="00E04CA1" w:rsidP="000545D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- содействовать своевременному проведению в организациях специальной оценки условий труда, обучению руководителей и специалистов требованиям охраны труда;</w:t>
      </w:r>
    </w:p>
    <w:p w:rsidR="00E04CA1" w:rsidRPr="00E025CE" w:rsidRDefault="00E04CA1" w:rsidP="000545DB">
      <w:pPr>
        <w:pStyle w:val="ac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повышению ответственности работодателей за состояние условий, охраны труда и обеспечение безопасности, гигиены труда и здоровья работников в процессе трудовой деятельности;</w:t>
      </w:r>
    </w:p>
    <w:p w:rsidR="00E04CA1" w:rsidRPr="00E025CE" w:rsidRDefault="00E04CA1" w:rsidP="000545DB">
      <w:pPr>
        <w:pStyle w:val="ac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5CE">
        <w:rPr>
          <w:rFonts w:ascii="Times New Roman" w:hAnsi="Times New Roman"/>
          <w:sz w:val="28"/>
          <w:szCs w:val="28"/>
          <w:lang w:eastAsia="ru-RU"/>
        </w:rPr>
        <w:t>повышение роли здорового образа жизни, физической культуры и спорта в жизни работников организаций Алатырского района;</w:t>
      </w:r>
    </w:p>
    <w:p w:rsidR="00E04CA1" w:rsidRPr="00E025CE" w:rsidRDefault="00E04CA1" w:rsidP="000545DB">
      <w:pPr>
        <w:pStyle w:val="ac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025CE">
        <w:rPr>
          <w:rFonts w:ascii="Times New Roman" w:hAnsi="Times New Roman"/>
          <w:sz w:val="28"/>
          <w:szCs w:val="28"/>
        </w:rPr>
        <w:t>совершенствование системы мониторинга условий и охраны труда в организациях.</w:t>
      </w:r>
    </w:p>
    <w:p w:rsidR="00E04CA1" w:rsidRPr="00E025CE" w:rsidRDefault="00E04CA1" w:rsidP="00A03301">
      <w:pPr>
        <w:rPr>
          <w:sz w:val="28"/>
          <w:szCs w:val="28"/>
        </w:rPr>
      </w:pPr>
      <w:r w:rsidRPr="00E025CE">
        <w:rPr>
          <w:sz w:val="28"/>
          <w:szCs w:val="28"/>
        </w:rPr>
        <w:t xml:space="preserve"> Важнейш</w:t>
      </w:r>
      <w:r>
        <w:rPr>
          <w:sz w:val="28"/>
          <w:szCs w:val="28"/>
        </w:rPr>
        <w:t>ими</w:t>
      </w:r>
      <w:r w:rsidRPr="00E025C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E025CE">
        <w:rPr>
          <w:sz w:val="28"/>
          <w:szCs w:val="28"/>
        </w:rPr>
        <w:t xml:space="preserve"> по улучшению условий и охраны труда явля</w:t>
      </w:r>
      <w:r>
        <w:rPr>
          <w:sz w:val="28"/>
          <w:szCs w:val="28"/>
        </w:rPr>
        <w:t>ю</w:t>
      </w:r>
      <w:r w:rsidRPr="00E025CE">
        <w:rPr>
          <w:sz w:val="28"/>
          <w:szCs w:val="28"/>
        </w:rPr>
        <w:t>тся</w:t>
      </w:r>
      <w:r>
        <w:rPr>
          <w:sz w:val="28"/>
          <w:szCs w:val="28"/>
        </w:rPr>
        <w:t xml:space="preserve">: </w:t>
      </w:r>
      <w:r w:rsidRPr="00E025CE">
        <w:rPr>
          <w:sz w:val="28"/>
          <w:szCs w:val="28"/>
        </w:rPr>
        <w:t>снижение роста профессиональных заболеваний и производственного травматизма</w:t>
      </w:r>
    </w:p>
    <w:p w:rsidR="00E04CA1" w:rsidRPr="00E025CE" w:rsidRDefault="00E04CA1" w:rsidP="00A03301">
      <w:pPr>
        <w:rPr>
          <w:sz w:val="28"/>
          <w:szCs w:val="28"/>
        </w:rPr>
      </w:pPr>
      <w:r w:rsidRPr="00E025CE">
        <w:rPr>
          <w:sz w:val="28"/>
          <w:szCs w:val="28"/>
        </w:rPr>
        <w:t>Особое внимание уделять вопросам охраны труда в субъектах малого предпринимательства, введением штатных работников по охране труда.</w:t>
      </w:r>
    </w:p>
    <w:p w:rsidR="00E04CA1" w:rsidRPr="00E025CE" w:rsidRDefault="00E04CA1" w:rsidP="0027703F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E025CE">
        <w:rPr>
          <w:sz w:val="28"/>
          <w:szCs w:val="28"/>
        </w:rPr>
        <w:t xml:space="preserve">        Только при осуществлении согласованных действий и комплексного подхода по дальнейшему совершенствованию систем управления охраной труда и профессиональными рисками, проводимых Администрацией Алатырского района, работодателями района, возможно, решить поставленные задачи, обеспечить снижение травматизма на производстве, сохранить жизнь и здоровье работников на территории Алатырского района Чувашской Республики.</w:t>
      </w:r>
    </w:p>
    <w:p w:rsidR="00E04CA1" w:rsidRPr="00E025CE" w:rsidRDefault="00E04CA1">
      <w:pPr>
        <w:rPr>
          <w:sz w:val="28"/>
          <w:szCs w:val="28"/>
        </w:rPr>
      </w:pPr>
    </w:p>
    <w:p w:rsidR="00E04CA1" w:rsidRPr="00E025CE" w:rsidRDefault="00E04CA1">
      <w:pPr>
        <w:rPr>
          <w:sz w:val="28"/>
          <w:szCs w:val="28"/>
        </w:rPr>
      </w:pPr>
    </w:p>
    <w:p w:rsidR="00E04CA1" w:rsidRPr="00E025CE" w:rsidRDefault="00E04CA1">
      <w:pPr>
        <w:rPr>
          <w:sz w:val="28"/>
          <w:szCs w:val="28"/>
        </w:rPr>
      </w:pPr>
    </w:p>
    <w:sectPr w:rsidR="00E04CA1" w:rsidRPr="00E025CE" w:rsidSect="005E2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6A"/>
    <w:multiLevelType w:val="hybridMultilevel"/>
    <w:tmpl w:val="D9D419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4C1675"/>
    <w:multiLevelType w:val="hybridMultilevel"/>
    <w:tmpl w:val="6E7AC302"/>
    <w:lvl w:ilvl="0" w:tplc="E334E66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D8F22DD"/>
    <w:multiLevelType w:val="hybridMultilevel"/>
    <w:tmpl w:val="EC0062D8"/>
    <w:lvl w:ilvl="0" w:tplc="B64C0BF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DB"/>
    <w:rsid w:val="000109BD"/>
    <w:rsid w:val="000210C2"/>
    <w:rsid w:val="000545DB"/>
    <w:rsid w:val="000942F2"/>
    <w:rsid w:val="000A63FE"/>
    <w:rsid w:val="00111BC5"/>
    <w:rsid w:val="001201E8"/>
    <w:rsid w:val="001611CE"/>
    <w:rsid w:val="001815AA"/>
    <w:rsid w:val="001954EE"/>
    <w:rsid w:val="001E3600"/>
    <w:rsid w:val="001F5A83"/>
    <w:rsid w:val="00200F96"/>
    <w:rsid w:val="002122A6"/>
    <w:rsid w:val="00213786"/>
    <w:rsid w:val="002175F0"/>
    <w:rsid w:val="00232853"/>
    <w:rsid w:val="002357C4"/>
    <w:rsid w:val="00236859"/>
    <w:rsid w:val="002454B5"/>
    <w:rsid w:val="0025131B"/>
    <w:rsid w:val="0027703F"/>
    <w:rsid w:val="00283E45"/>
    <w:rsid w:val="00284B1B"/>
    <w:rsid w:val="00297A1E"/>
    <w:rsid w:val="002F7256"/>
    <w:rsid w:val="0030055F"/>
    <w:rsid w:val="0035055F"/>
    <w:rsid w:val="003568D1"/>
    <w:rsid w:val="003600A8"/>
    <w:rsid w:val="0037636E"/>
    <w:rsid w:val="00376AE2"/>
    <w:rsid w:val="00395DF2"/>
    <w:rsid w:val="003C0B16"/>
    <w:rsid w:val="00416C40"/>
    <w:rsid w:val="00422BEC"/>
    <w:rsid w:val="00453A90"/>
    <w:rsid w:val="004818F2"/>
    <w:rsid w:val="004842F0"/>
    <w:rsid w:val="0049336A"/>
    <w:rsid w:val="004A3E36"/>
    <w:rsid w:val="004B630D"/>
    <w:rsid w:val="004C1C32"/>
    <w:rsid w:val="004E429F"/>
    <w:rsid w:val="004E6E69"/>
    <w:rsid w:val="00502B1C"/>
    <w:rsid w:val="005150E0"/>
    <w:rsid w:val="00520AAA"/>
    <w:rsid w:val="00525B7E"/>
    <w:rsid w:val="00526F71"/>
    <w:rsid w:val="00533C6A"/>
    <w:rsid w:val="00543557"/>
    <w:rsid w:val="005465E3"/>
    <w:rsid w:val="00561840"/>
    <w:rsid w:val="00564745"/>
    <w:rsid w:val="005A41D2"/>
    <w:rsid w:val="005B3E68"/>
    <w:rsid w:val="005B4693"/>
    <w:rsid w:val="005C2675"/>
    <w:rsid w:val="005C4E90"/>
    <w:rsid w:val="005D6295"/>
    <w:rsid w:val="005E23C3"/>
    <w:rsid w:val="005E77B6"/>
    <w:rsid w:val="005F277C"/>
    <w:rsid w:val="00621B22"/>
    <w:rsid w:val="006260E5"/>
    <w:rsid w:val="0065684B"/>
    <w:rsid w:val="0067036E"/>
    <w:rsid w:val="006877E3"/>
    <w:rsid w:val="006978DA"/>
    <w:rsid w:val="006A57BE"/>
    <w:rsid w:val="006A75DB"/>
    <w:rsid w:val="006B3810"/>
    <w:rsid w:val="006B6880"/>
    <w:rsid w:val="006C0EA8"/>
    <w:rsid w:val="006C1BDF"/>
    <w:rsid w:val="006C1FE8"/>
    <w:rsid w:val="006C5673"/>
    <w:rsid w:val="006E305A"/>
    <w:rsid w:val="006E31AB"/>
    <w:rsid w:val="006F181A"/>
    <w:rsid w:val="00702C7E"/>
    <w:rsid w:val="00712C6E"/>
    <w:rsid w:val="00755B2E"/>
    <w:rsid w:val="00761C5E"/>
    <w:rsid w:val="00771CBB"/>
    <w:rsid w:val="0077632B"/>
    <w:rsid w:val="007B0B41"/>
    <w:rsid w:val="007C4BE7"/>
    <w:rsid w:val="007D3A53"/>
    <w:rsid w:val="007D7CF9"/>
    <w:rsid w:val="007E77EF"/>
    <w:rsid w:val="007F54CC"/>
    <w:rsid w:val="00800D28"/>
    <w:rsid w:val="00803B9A"/>
    <w:rsid w:val="00805483"/>
    <w:rsid w:val="00811FEF"/>
    <w:rsid w:val="00823C2B"/>
    <w:rsid w:val="008245E8"/>
    <w:rsid w:val="008378A2"/>
    <w:rsid w:val="00841E53"/>
    <w:rsid w:val="00864832"/>
    <w:rsid w:val="008874B1"/>
    <w:rsid w:val="008B3680"/>
    <w:rsid w:val="008B4A28"/>
    <w:rsid w:val="008C2167"/>
    <w:rsid w:val="008E2AE2"/>
    <w:rsid w:val="009149BC"/>
    <w:rsid w:val="009266A1"/>
    <w:rsid w:val="009520AD"/>
    <w:rsid w:val="00961860"/>
    <w:rsid w:val="0096497B"/>
    <w:rsid w:val="00970915"/>
    <w:rsid w:val="00984F4B"/>
    <w:rsid w:val="009B3097"/>
    <w:rsid w:val="009B5A16"/>
    <w:rsid w:val="009E3C11"/>
    <w:rsid w:val="00A02D9A"/>
    <w:rsid w:val="00A03301"/>
    <w:rsid w:val="00A11CFC"/>
    <w:rsid w:val="00A264E3"/>
    <w:rsid w:val="00A50AD7"/>
    <w:rsid w:val="00A54265"/>
    <w:rsid w:val="00A65F66"/>
    <w:rsid w:val="00A8558D"/>
    <w:rsid w:val="00A964D2"/>
    <w:rsid w:val="00AA07C3"/>
    <w:rsid w:val="00AC3ACA"/>
    <w:rsid w:val="00AC5200"/>
    <w:rsid w:val="00B165A1"/>
    <w:rsid w:val="00B34051"/>
    <w:rsid w:val="00B55AC6"/>
    <w:rsid w:val="00B5710E"/>
    <w:rsid w:val="00B67739"/>
    <w:rsid w:val="00B700EE"/>
    <w:rsid w:val="00B82468"/>
    <w:rsid w:val="00B963BE"/>
    <w:rsid w:val="00BE3C48"/>
    <w:rsid w:val="00BF6D00"/>
    <w:rsid w:val="00C4604B"/>
    <w:rsid w:val="00C53EDA"/>
    <w:rsid w:val="00C56A87"/>
    <w:rsid w:val="00C6316D"/>
    <w:rsid w:val="00C77655"/>
    <w:rsid w:val="00C839EB"/>
    <w:rsid w:val="00C953BC"/>
    <w:rsid w:val="00CC32E1"/>
    <w:rsid w:val="00CE11D2"/>
    <w:rsid w:val="00D12717"/>
    <w:rsid w:val="00D17EA3"/>
    <w:rsid w:val="00D311A3"/>
    <w:rsid w:val="00D4223D"/>
    <w:rsid w:val="00D63D23"/>
    <w:rsid w:val="00D92B67"/>
    <w:rsid w:val="00D93DED"/>
    <w:rsid w:val="00DA77C1"/>
    <w:rsid w:val="00DB25AF"/>
    <w:rsid w:val="00DE06A9"/>
    <w:rsid w:val="00DE3EDF"/>
    <w:rsid w:val="00DF37A4"/>
    <w:rsid w:val="00E00A97"/>
    <w:rsid w:val="00E025CE"/>
    <w:rsid w:val="00E04CA1"/>
    <w:rsid w:val="00E05FEF"/>
    <w:rsid w:val="00E51AB7"/>
    <w:rsid w:val="00E80B09"/>
    <w:rsid w:val="00EA618F"/>
    <w:rsid w:val="00EB768C"/>
    <w:rsid w:val="00EC2639"/>
    <w:rsid w:val="00EC6099"/>
    <w:rsid w:val="00EE6AC2"/>
    <w:rsid w:val="00F144B5"/>
    <w:rsid w:val="00F21C37"/>
    <w:rsid w:val="00F37917"/>
    <w:rsid w:val="00F52C8E"/>
    <w:rsid w:val="00F800EC"/>
    <w:rsid w:val="00F90FF1"/>
    <w:rsid w:val="00FB16B5"/>
    <w:rsid w:val="00FB2E63"/>
    <w:rsid w:val="00FB3E87"/>
    <w:rsid w:val="00FC7AC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DB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5DB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iPriority w:val="99"/>
    <w:qFormat/>
    <w:locked/>
    <w:rsid w:val="005E2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E23C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45DB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5DB"/>
    <w:rPr>
      <w:rFonts w:ascii="Arial Cyr Chuv" w:hAnsi="Arial Cyr Chuv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15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15AA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0545D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545DB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customStyle="1" w:styleId="a4">
    <w:name w:val="Название Знак"/>
    <w:basedOn w:val="a0"/>
    <w:link w:val="a3"/>
    <w:uiPriority w:val="99"/>
    <w:locked/>
    <w:rsid w:val="000545DB"/>
    <w:rPr>
      <w:rFonts w:ascii="Arial" w:hAnsi="Arial" w:cs="Arial"/>
      <w:b/>
      <w:bCs/>
      <w:color w:val="000080"/>
      <w:sz w:val="16"/>
      <w:szCs w:val="16"/>
      <w:lang w:eastAsia="ru-RU"/>
    </w:rPr>
  </w:style>
  <w:style w:type="character" w:styleId="a5">
    <w:name w:val="Hyperlink"/>
    <w:basedOn w:val="a0"/>
    <w:uiPriority w:val="99"/>
    <w:rsid w:val="000545DB"/>
    <w:rPr>
      <w:rFonts w:cs="Times New Roman"/>
      <w:color w:val="971417"/>
      <w:u w:val="none"/>
      <w:effect w:val="none"/>
    </w:rPr>
  </w:style>
  <w:style w:type="paragraph" w:styleId="a6">
    <w:name w:val="Balloon Text"/>
    <w:basedOn w:val="a"/>
    <w:link w:val="a7"/>
    <w:uiPriority w:val="99"/>
    <w:semiHidden/>
    <w:rsid w:val="000545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545D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0545DB"/>
    <w:rPr>
      <w:rFonts w:cs="Times New Roman"/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545DB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customStyle="1" w:styleId="aa">
    <w:name w:val="Прижатый влево"/>
    <w:basedOn w:val="a"/>
    <w:next w:val="a"/>
    <w:uiPriority w:val="99"/>
    <w:rsid w:val="000545DB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styleId="ab">
    <w:name w:val="Normal (Web)"/>
    <w:basedOn w:val="a"/>
    <w:uiPriority w:val="99"/>
    <w:semiHidden/>
    <w:rsid w:val="000545DB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styleId="ac">
    <w:name w:val="List Paragraph"/>
    <w:basedOn w:val="a"/>
    <w:uiPriority w:val="99"/>
    <w:qFormat/>
    <w:rsid w:val="000545DB"/>
    <w:pPr>
      <w:spacing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92B67"/>
    <w:rPr>
      <w:rFonts w:cs="Times New Roman"/>
    </w:rPr>
  </w:style>
  <w:style w:type="paragraph" w:styleId="ad">
    <w:name w:val="Body Text"/>
    <w:basedOn w:val="a"/>
    <w:link w:val="ae"/>
    <w:uiPriority w:val="99"/>
    <w:rsid w:val="005E23C3"/>
    <w:pPr>
      <w:ind w:firstLine="0"/>
      <w:jc w:val="left"/>
    </w:pPr>
    <w:rPr>
      <w:rFonts w:eastAsia="Calibri"/>
      <w:b/>
      <w:bCs/>
      <w:sz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815AA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rsid w:val="005E23C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815AA"/>
    <w:rPr>
      <w:rFonts w:ascii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locked/>
    <w:rsid w:val="00502B1C"/>
    <w:pPr>
      <w:framePr w:w="3930" w:h="1875" w:hSpace="180" w:wrap="around" w:vAnchor="text" w:hAnchor="page" w:x="1365" w:y="6"/>
      <w:jc w:val="center"/>
    </w:pPr>
    <w:rPr>
      <w:rFonts w:ascii="TimesET" w:eastAsia="Calibri" w:hAnsi="TimesET"/>
      <w:b/>
    </w:rPr>
  </w:style>
  <w:style w:type="character" w:customStyle="1" w:styleId="af2">
    <w:name w:val="Цветовое выделение"/>
    <w:uiPriority w:val="99"/>
    <w:rsid w:val="006C0EA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  <w:divsChild>
            <w:div w:id="1493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64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9769">
                  <w:marLeft w:val="60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9768">
          <w:marLeft w:val="1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5267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E330DE2F01D803FFD3569F70F6A69AC87F617EA674181CD09B6EA45694B0557FD931ABC2F8F6C3439F3ATAd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E330DE2F01D803FFD3569F70F6A69AC87F617EA674181CD09B6EA45694B0557FD931ABC2F8F6C3439F3ATAd9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berry.ru/dogovory/trudovoy-dogov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2293</Words>
  <Characters>13073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economy</dc:creator>
  <cp:keywords/>
  <dc:description/>
  <cp:lastModifiedBy>Пользователь Windows</cp:lastModifiedBy>
  <cp:revision>36</cp:revision>
  <cp:lastPrinted>2019-05-30T06:11:00Z</cp:lastPrinted>
  <dcterms:created xsi:type="dcterms:W3CDTF">2018-06-05T12:45:00Z</dcterms:created>
  <dcterms:modified xsi:type="dcterms:W3CDTF">2020-01-20T10:37:00Z</dcterms:modified>
</cp:coreProperties>
</file>