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Утвержден приказом </w:t>
      </w:r>
    </w:p>
    <w:p>
      <w:pPr>
        <w:spacing/>
        <w:jc w:val="right"/>
        <w:rPr>
          <w:sz w:val="26"/>
          <w:szCs w:val="26"/>
        </w:rPr>
      </w:pPr>
      <w:r>
        <w:rPr>
          <w:sz w:val="26"/>
          <w:szCs w:val="26"/>
        </w:rPr>
        <w:t>Минстроя Чувашии</w:t>
      </w:r>
    </w:p>
    <w:p>
      <w:pPr>
        <w:spacing/>
        <w:jc w:val="right"/>
        <w:rPr>
          <w:sz w:val="26"/>
          <w:szCs w:val="26"/>
        </w:rPr>
      </w:pPr>
      <w:r>
        <w:rPr>
          <w:sz w:val="26"/>
          <w:szCs w:val="26"/>
        </w:rPr>
        <w:t>от 20.12.2019 № 03/1-03/1047</w:t>
      </w:r>
    </w:p>
    <w:p>
      <w:pPr>
        <w: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ПЛАН </w:t>
      </w:r>
    </w:p>
    <w:p>
      <w:pPr>
        <w: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мероприятий по противодействию коррупции Министерства строительства, архитектуры </w:t>
      </w:r>
    </w:p>
    <w:p>
      <w:pPr>
        <w: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жилищно-коммунального хозяйства Чувашской Республики на 2020 год</w:t>
      </w:r>
    </w:p>
    <w:p>
      <w:pPr>
        <w: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tbl>
      <w:tblPr>
        <w:name w:val="Таблица1"/>
        <w:tabOrder w:val="0"/>
        <w:jc w:val="left"/>
        <w:tblInd w:w="0" w:type="dxa"/>
        <w:tblW w:w="14785" w:type="dxa"/>
      </w:tblPr>
      <w:tblGrid>
        <w:gridCol w:w="746"/>
        <w:gridCol w:w="7554"/>
        <w:gridCol w:w="2883"/>
        <w:gridCol w:w="3602"/>
      </w:tblGrid>
      <w:tr>
        <w:trPr>
          <w:trHeight w:val="0" w:hRule="auto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7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36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Ответственное структурное подразделение</w:t>
            </w:r>
          </w:p>
        </w:tc>
      </w:tr>
      <w:tr>
        <w:trPr>
          <w:trHeight w:val="0" w:hRule="auto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>
        <w:trPr>
          <w:trHeight w:val="332" w:hRule="atLeast"/>
        </w:trPr>
        <w:tc>
          <w:tcPr>
            <w:tcW w:w="1478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Мероприятия организационного и нормотворческого характера</w:t>
            </w:r>
          </w:p>
        </w:tc>
      </w:tr>
      <w:tr>
        <w:trPr>
          <w:trHeight w:val="0" w:hRule="auto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1.</w:t>
            </w:r>
          </w:p>
        </w:tc>
        <w:tc>
          <w:tcPr>
            <w:tcW w:w="7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Главе Чувашской Республики, в Кабинет Министров Чувашской Республики, другим заинтересованным органам информации о реализации Министерством строительства, архитектуры и жилищно-коммунального хозяйства Чувашской Республики (далее – Министерство) мер по противодействию коррупции в Чувашской Республике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запросу)</w:t>
            </w:r>
          </w:p>
        </w:tc>
        <w:tc>
          <w:tcPr>
            <w:tcW w:w="36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работы,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структурные подразделения Министерства</w:t>
            </w:r>
          </w:p>
        </w:tc>
      </w:tr>
      <w:tr>
        <w:trPr>
          <w:trHeight w:val="0" w:hRule="auto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2.</w:t>
            </w:r>
          </w:p>
        </w:tc>
        <w:tc>
          <w:tcPr>
            <w:tcW w:w="7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плана мероприятий по противодействию коррупции Министерства на 2021 год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декабрь </w:t>
            </w:r>
          </w:p>
        </w:tc>
        <w:tc>
          <w:tcPr>
            <w:tcW w:w="36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работы,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структурные подразделения Министерства</w:t>
            </w:r>
          </w:p>
        </w:tc>
      </w:tr>
      <w:tr>
        <w:trPr>
          <w:trHeight w:val="0" w:hRule="auto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3.</w:t>
            </w:r>
          </w:p>
        </w:tc>
        <w:tc>
          <w:tcPr>
            <w:tcW w:w="7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проектов нормативных правовых актов Чувашской Республики по реализации решений, принятых на федеральном уровне в целях противодействия коррупции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одного месяца после принятия соответствующих решений на федеральном уровне</w:t>
            </w:r>
          </w:p>
        </w:tc>
        <w:tc>
          <w:tcPr>
            <w:tcW w:w="36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структурные подразделения Министерства</w:t>
            </w:r>
          </w:p>
        </w:tc>
      </w:tr>
      <w:tr>
        <w:trPr>
          <w:trHeight w:val="0" w:hRule="auto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4.</w:t>
            </w:r>
          </w:p>
        </w:tc>
        <w:tc>
          <w:tcPr>
            <w:tcW w:w="7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проектов нормативных правовых актов, разрабатываемых Министерством, на официальных сайтах в информационно-телекоммуникационной сети «Интернет» в соответствии с требованиями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 и постановления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мере необходимости)</w:t>
            </w:r>
          </w:p>
        </w:tc>
        <w:tc>
          <w:tcPr>
            <w:tcW w:w="36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работы,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структурные подразделения Министерства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932" w:hRule="atLeast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5.</w:t>
            </w:r>
          </w:p>
        </w:tc>
        <w:tc>
          <w:tcPr>
            <w:tcW w:w="7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Совершенствование нормативно-правовой базы Министерства по вопросам противодействия коррупции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6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</w:p>
        </w:tc>
      </w:tr>
      <w:tr>
        <w:trPr>
          <w:trHeight w:val="0" w:hRule="auto"/>
        </w:trPr>
        <w:tc>
          <w:tcPr>
            <w:tcW w:w="1478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Мероприятия по организации и проведению антикоррупционной экспертизы нормативных правовых актов</w:t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0" w:hRule="auto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7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антикоррупционной экспертизы нормативных правовых актов Чувашской Республики (по направлениям деятельности Министерства), нормативных правовых актов Министерства 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36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0" w:hRule="auto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7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участия независимых экспертов в проведении антикоррупционной экспертизы нормативных правовых актов, их проектов и иных документов, разработанных Министерством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6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0" w:hRule="auto"/>
        </w:trPr>
        <w:tc>
          <w:tcPr>
            <w:tcW w:w="1478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Антикоррупционные мероприятия, проводимые в рамках размещения государственных заказов</w:t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0" w:hRule="auto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tabs>
                <w:tab w:val="left" w:pos="72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7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Соблюдение положений Федерального закона от 05.04.2013 № 44-ФЗ «О контактной системе в сфере закупок товаров, работ, услуг для государственных и муниципальных нужд» при проведении закупок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размещении государственного заказа</w:t>
            </w:r>
          </w:p>
        </w:tc>
        <w:tc>
          <w:tcPr>
            <w:tcW w:w="36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структурные подразделения Министерства</w:t>
            </w:r>
            <w:r>
              <w:rPr>
                <w:i/>
                <w:sz w:val="26"/>
                <w:szCs w:val="26"/>
              </w:rPr>
            </w:r>
          </w:p>
        </w:tc>
      </w:tr>
      <w:tr>
        <w:trPr>
          <w:trHeight w:val="0" w:hRule="auto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>9.</w:t>
            </w:r>
          </w:p>
        </w:tc>
        <w:tc>
          <w:tcPr>
            <w:tcW w:w="7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мониторинга цен закупаемой продукции 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подготовке документации к размещению государственного заказа</w:t>
            </w:r>
          </w:p>
        </w:tc>
        <w:tc>
          <w:tcPr>
            <w:tcW w:w="36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структурные подразделения Министерства</w:t>
            </w:r>
            <w:r>
              <w:rPr>
                <w:i/>
                <w:sz w:val="26"/>
                <w:szCs w:val="26"/>
              </w:rPr>
            </w:r>
          </w:p>
        </w:tc>
      </w:tr>
      <w:tr>
        <w:trPr>
          <w:trHeight w:val="0" w:hRule="auto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>10.</w:t>
            </w:r>
          </w:p>
        </w:tc>
        <w:tc>
          <w:tcPr>
            <w:tcW w:w="7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мероприятий по исключению случаев участия на стороне поставщиков (подрядчиков, исполнителей) в сфере закупок товаров, работ, услуг для обеспечения государственных нужд близких родственников, а также лиц, которые могут оказать прямое влияние на процесс формирования, размещения и контроля за проведением закупок, работ, услуг для обеспечения государственных нужд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подготовке документации к размещению государственного заказа, размещении государственного заказа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6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работы,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структурные подразделения Министерства </w:t>
            </w:r>
          </w:p>
        </w:tc>
      </w:tr>
      <w:tr>
        <w:trPr>
          <w:trHeight w:val="0" w:hRule="auto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>11.</w:t>
            </w:r>
          </w:p>
        </w:tc>
        <w:tc>
          <w:tcPr>
            <w:tcW w:w="7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отчета по эффективности бюджетных расходов при проведении закупок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6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структурные подразделения Министерства</w:t>
            </w:r>
            <w:r>
              <w:rPr>
                <w:i/>
                <w:sz w:val="26"/>
                <w:szCs w:val="26"/>
              </w:rPr>
            </w:r>
          </w:p>
        </w:tc>
      </w:tr>
      <w:tr>
        <w:trPr>
          <w:trHeight w:val="0" w:hRule="auto"/>
        </w:trPr>
        <w:tc>
          <w:tcPr>
            <w:tcW w:w="1478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Проведение антикоррупционных мероприятий в рамках реализации кадровой политики</w:t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0" w:hRule="auto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12.</w:t>
            </w:r>
          </w:p>
        </w:tc>
        <w:tc>
          <w:tcPr>
            <w:tcW w:w="7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Анализ уровня профессиональной подготовки гражданских служащих Министерства, обеспечение повышения их квалификации. 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6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</w:p>
        </w:tc>
      </w:tr>
      <w:tr>
        <w:trPr>
          <w:trHeight w:val="0" w:hRule="auto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13.</w:t>
            </w:r>
          </w:p>
        </w:tc>
        <w:tc>
          <w:tcPr>
            <w:tcW w:w="7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Регулярное освещение вопросов кадровой политики Министерства в информационно-телекоммуникационной сети «Интернет»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6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</w:p>
        </w:tc>
      </w:tr>
      <w:tr>
        <w:trPr>
          <w:trHeight w:val="0" w:hRule="auto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14.</w:t>
            </w:r>
          </w:p>
        </w:tc>
        <w:tc>
          <w:tcPr>
            <w:tcW w:w="7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контроля за своевременным представлением гражданскими служащими Министерства сведений об адресах сайтов и (или) страниц сайтов в информационно-телекоммуникационной сети «Интернет», на которых гражданские служащие размещали общедоступную информацию, а также данные, позволяющие их идентифицировать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ежегодно, не позднее 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апреля года, следующего за отчетным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6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правового, кадрового обеспечения и мобилизационной работы </w:t>
            </w:r>
          </w:p>
        </w:tc>
      </w:tr>
      <w:tr>
        <w:trPr>
          <w:trHeight w:val="0" w:hRule="auto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15.</w:t>
            </w:r>
          </w:p>
        </w:tc>
        <w:tc>
          <w:tcPr>
            <w:tcW w:w="7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своевременного представления гражданскими служащими и руководителями организаций, находящихся в ведении Министерства (далее - руководители организаций) сведений о доходах, расходах, об имуществе и обязательствах имущественного характера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 апреля</w:t>
            </w:r>
          </w:p>
        </w:tc>
        <w:tc>
          <w:tcPr>
            <w:tcW w:w="36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</w:p>
        </w:tc>
      </w:tr>
      <w:tr>
        <w:trPr>
          <w:trHeight w:val="0" w:hRule="auto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16.</w:t>
            </w:r>
          </w:p>
        </w:tc>
        <w:tc>
          <w:tcPr>
            <w:tcW w:w="7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и размещение на официальном сайте Министерства в информационно-телекоммуникационной сети «Интернет» сведений о доходах, расходах, об имуществе и обязательствах имущественного характера гражданских служащих, руководителей организаций и членов их семей за отчетный период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14-дневный срок со дня истечения срока, установленного для подачи справок</w:t>
            </w:r>
          </w:p>
        </w:tc>
        <w:tc>
          <w:tcPr>
            <w:tcW w:w="36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0" w:hRule="auto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17.</w:t>
            </w:r>
          </w:p>
        </w:tc>
        <w:tc>
          <w:tcPr>
            <w:tcW w:w="7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сведений о доходах, об имуществе и обязательствах имущественного характера гражданских служащих Министерства и руководителей организаций, а также сведений о доходах, имуществе и обязательствах имущественного характера членов их семей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 квартал</w:t>
            </w:r>
          </w:p>
        </w:tc>
        <w:tc>
          <w:tcPr>
            <w:tcW w:w="36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0" w:hRule="auto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18.</w:t>
            </w:r>
          </w:p>
        </w:tc>
        <w:tc>
          <w:tcPr>
            <w:tcW w:w="7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both"/>
              <w:tabs>
                <w:tab w:val="left" w:pos="756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гражданской службы,  гражданскими служащими Министерства и руководителями организаций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наличии необходимых оснований</w:t>
            </w:r>
          </w:p>
        </w:tc>
        <w:tc>
          <w:tcPr>
            <w:tcW w:w="36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0" w:hRule="auto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19.</w:t>
            </w:r>
          </w:p>
        </w:tc>
        <w:tc>
          <w:tcPr>
            <w:tcW w:w="7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both"/>
              <w:tabs>
                <w:tab w:val="left" w:pos="756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контроля за расходами гражданских служащих Министерства, а также о расходах супруги (супруга) и несовершеннолетних детей гражданских служащих Министерства по каждой сделке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чет которых совершены эти сделки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наличии необходимых оснований</w:t>
            </w:r>
          </w:p>
        </w:tc>
        <w:tc>
          <w:tcPr>
            <w:tcW w:w="36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0" w:hRule="auto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20.</w:t>
            </w:r>
          </w:p>
        </w:tc>
        <w:tc>
          <w:tcPr>
            <w:tcW w:w="7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средствам массовой информации для опубликования в связи с их запросами сведений о доходах, расходах, об имуществе и обязательствах имущественного характера гражданских служащих и членов их семей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запросам</w:t>
            </w:r>
          </w:p>
        </w:tc>
        <w:tc>
          <w:tcPr>
            <w:tcW w:w="36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</w:p>
        </w:tc>
      </w:tr>
      <w:tr>
        <w:trPr>
          <w:trHeight w:val="0" w:hRule="auto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21.</w:t>
            </w:r>
          </w:p>
        </w:tc>
        <w:tc>
          <w:tcPr>
            <w:tcW w:w="7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 w:line="235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обеспечение проведения конкурсов на замещение вакантных должностей гражданской службы в Министерстве и включение в кадровый резерв Министерства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6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</w:p>
        </w:tc>
      </w:tr>
      <w:tr>
        <w:trPr>
          <w:trHeight w:val="0" w:hRule="auto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22.</w:t>
            </w:r>
          </w:p>
        </w:tc>
        <w:tc>
          <w:tcPr>
            <w:tcW w:w="7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 w:line="235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обеспечение проведения конкурсов на замещение вакантных должностей руководителей организаций и включение в кадровый резерв на замещение должности руководителя организации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6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</w:p>
        </w:tc>
      </w:tr>
      <w:tr>
        <w:trPr>
          <w:trHeight w:val="0" w:hRule="auto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23.</w:t>
            </w:r>
          </w:p>
        </w:tc>
        <w:tc>
          <w:tcPr>
            <w:tcW w:w="7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кадрового резерва для замещения вакантных должностей государственной гражданской службы Чувашской Республики в Министерстве, организация работы по эффективному его использованию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6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1042" w:hRule="atLeast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24.</w:t>
            </w:r>
          </w:p>
        </w:tc>
        <w:tc>
          <w:tcPr>
            <w:tcW w:w="7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 w:line="235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антикоррупционной работы среди кандидатов на вакантные должности гражданской службы 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6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</w:p>
        </w:tc>
      </w:tr>
      <w:tr>
        <w:trPr>
          <w:trHeight w:val="0" w:hRule="auto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25.</w:t>
            </w:r>
          </w:p>
        </w:tc>
        <w:tc>
          <w:tcPr>
            <w:tcW w:w="7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проверки персональных данных, предоставляемых кандидатами при поступлении на государственную гражданскую службу Чувашской Республики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поступлении на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государственную 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гражданскую службу</w:t>
            </w:r>
          </w:p>
        </w:tc>
        <w:tc>
          <w:tcPr>
            <w:tcW w:w="36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</w:p>
        </w:tc>
      </w:tr>
      <w:tr>
        <w:trPr>
          <w:trHeight w:val="0" w:hRule="auto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tabs>
                <w:tab w:val="left" w:pos="72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7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проверки на причастность кандидатов при поступлении на государственную гражданскую службу Чувашской Республики к осуществлению предпринимательской деятельностью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 поступлении на государственную гражданскую службу </w:t>
            </w:r>
          </w:p>
        </w:tc>
        <w:tc>
          <w:tcPr>
            <w:tcW w:w="36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0" w:hRule="auto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27.</w:t>
            </w:r>
          </w:p>
        </w:tc>
        <w:tc>
          <w:tcPr>
            <w:tcW w:w="7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предложений о направлении запросов</w:t>
            </w:r>
            <w:r>
              <w:rPr>
                <w:kern w:val="1"/>
                <w:sz w:val="26"/>
                <w:szCs w:val="26"/>
              </w:rPr>
              <w:t xml:space="preserve">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ними </w:t>
            </w:r>
            <w:r>
              <w:rPr>
                <w:sz w:val="26"/>
                <w:szCs w:val="26"/>
              </w:rPr>
              <w:t xml:space="preserve"> Главе Чувашской Республики 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6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</w:p>
        </w:tc>
      </w:tr>
      <w:tr>
        <w:trPr>
          <w:trHeight w:val="0" w:hRule="auto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28.</w:t>
            </w:r>
          </w:p>
        </w:tc>
        <w:tc>
          <w:tcPr>
            <w:tcW w:w="7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разъяснительной работы по недопущению лицами, замещающими должности гражданской службы, поведения, которое может восприниматься как обещание или предложение дачи взятки либо как согласие принять взятку или как просьба о даче взятки 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6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0" w:hRule="auto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29.</w:t>
            </w:r>
          </w:p>
        </w:tc>
        <w:tc>
          <w:tcPr>
            <w:tcW w:w="7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работы по выявлению случаев возникновения конфликта интересов, а также их предотвращению и урегулированию, одной из сторон которого являются гражданские служащие 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6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0" w:hRule="auto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30.</w:t>
            </w:r>
          </w:p>
        </w:tc>
        <w:tc>
          <w:tcPr>
            <w:tcW w:w="7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Осуществление контроля за актуализацией сведений, содержащихся в анкетах, представляемых при назначении на должности государственной гражданской службы, об их родственниках и свойственниках в целях выявления возможного конфликта интересов. 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6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0" w:hRule="auto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31.</w:t>
            </w:r>
          </w:p>
        </w:tc>
        <w:tc>
          <w:tcPr>
            <w:tcW w:w="7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мониторинга коррупционных проявлений в Министерстве посредством анализа жалоб и обращений граждан и организаций, а также публикаций в средствах массовой информации, своевременное их рассмотрение и принятие мер по указанным фактам 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6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</w:p>
        </w:tc>
      </w:tr>
      <w:tr>
        <w:trPr>
          <w:trHeight w:val="0" w:hRule="auto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32.</w:t>
            </w:r>
          </w:p>
        </w:tc>
        <w:tc>
          <w:tcPr>
            <w:tcW w:w="7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 по результатам анализа обращений граждан, содержащих информацию о фактах коррупции со стороны гражданских служащих, организационных мер, направленных на предупреждение подобных фактов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поступления</w:t>
            </w:r>
          </w:p>
        </w:tc>
        <w:tc>
          <w:tcPr>
            <w:tcW w:w="36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</w:p>
        </w:tc>
      </w:tr>
      <w:tr>
        <w:trPr>
          <w:trHeight w:val="0" w:hRule="auto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33.</w:t>
            </w:r>
          </w:p>
        </w:tc>
        <w:tc>
          <w:tcPr>
            <w:tcW w:w="7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реализации гражданскими служащими обязанности уведомления министра о намерении выполнять иную оплачиваемую работу, которая приводит (или может привести) к конфликту интересов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6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</w:p>
        </w:tc>
      </w:tr>
      <w:tr>
        <w:trPr>
          <w:trHeight w:val="0" w:hRule="auto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34.</w:t>
            </w:r>
          </w:p>
        </w:tc>
        <w:tc>
          <w:tcPr>
            <w:tcW w:w="7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обеспечение работы по рассмотрению уведомлений о фактах обращения в целях склонений гражданских служащих Министерства и руководителей организаций к совершению коррупционных правонарушений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6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</w:p>
        </w:tc>
      </w:tr>
      <w:tr>
        <w:trPr>
          <w:trHeight w:val="0" w:hRule="auto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35.</w:t>
            </w:r>
          </w:p>
        </w:tc>
        <w:tc>
          <w:tcPr>
            <w:tcW w:w="7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pStyle w:val="para4"/>
              <w:spacing w:before="0" w:after="0" w:beforeAutospacing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случаев возникновения конфликта интересов, одной из сторон которого являются гражданские служащие и руководители организаций,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6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</w:p>
        </w:tc>
      </w:tr>
      <w:tr>
        <w:trPr>
          <w:trHeight w:val="0" w:hRule="auto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36.</w:t>
            </w:r>
          </w:p>
        </w:tc>
        <w:tc>
          <w:tcPr>
            <w:tcW w:w="7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both"/>
              <w:tabs>
                <w:tab w:val="left" w:pos="756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Содействие организациям, находящимся в ведении Министерства, в организации работы по противодействию коррупции, в том числе по формированию у работников отрицательного отношения к коррупции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6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работы,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структурные подразделения Министерства</w:t>
            </w:r>
          </w:p>
        </w:tc>
      </w:tr>
      <w:tr>
        <w:trPr>
          <w:trHeight w:val="0" w:hRule="auto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37.</w:t>
            </w:r>
          </w:p>
        </w:tc>
        <w:tc>
          <w:tcPr>
            <w:tcW w:w="7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both"/>
              <w:tabs>
                <w:tab w:val="left" w:pos="756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работы по разъяснению гражданским служащим, увольняющимся с гражданской службы, о соблюдении требований действующего законодательства, связанных с трудоустройством после увольнения с гражданской службы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6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</w:p>
        </w:tc>
      </w:tr>
      <w:tr>
        <w:trPr>
          <w:trHeight w:val="0" w:hRule="auto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38.</w:t>
            </w:r>
          </w:p>
        </w:tc>
        <w:tc>
          <w:tcPr>
            <w:tcW w:w="7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Мониторинг публикаций в средствах массовой информации о фактах проявления коррупции в Министерстве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мере необходимости)</w:t>
            </w:r>
          </w:p>
        </w:tc>
        <w:tc>
          <w:tcPr>
            <w:tcW w:w="36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</w:p>
        </w:tc>
      </w:tr>
      <w:tr>
        <w:trPr>
          <w:trHeight w:val="0" w:hRule="auto"/>
        </w:trPr>
        <w:tc>
          <w:tcPr>
            <w:tcW w:w="1478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Мероприятия по антикоррупционной пропаганде и просвещению</w:t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0" w:hRule="auto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39.</w:t>
            </w:r>
          </w:p>
        </w:tc>
        <w:tc>
          <w:tcPr>
            <w:tcW w:w="7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6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0" w:hRule="auto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40.</w:t>
            </w:r>
          </w:p>
        </w:tc>
        <w:tc>
          <w:tcPr>
            <w:tcW w:w="7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правового просвещения (ознакомления) гражданских служащих по противодействию коррупции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 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 после принятия нормативного правового акта</w:t>
            </w:r>
          </w:p>
        </w:tc>
        <w:tc>
          <w:tcPr>
            <w:tcW w:w="36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rPr>
                <w:rFonts w:ascii="TimesET" w:hAnsi="TimesET"/>
                <w:color w:val="ff0000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  <w:r>
              <w:rPr>
                <w:rFonts w:ascii="TimesET" w:hAnsi="TimesET"/>
                <w:color w:val="ff0000"/>
              </w:rPr>
            </w:r>
          </w:p>
        </w:tc>
      </w:tr>
      <w:tr>
        <w:trPr>
          <w:trHeight w:val="0" w:hRule="auto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41.</w:t>
            </w:r>
          </w:p>
        </w:tc>
        <w:tc>
          <w:tcPr>
            <w:tcW w:w="7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Оказание содействия организациям, находящимся в ведении Министерства по проведению мероприятий, направленных на противодействие коррупции 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6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работы,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структурные подразделения Министерства</w:t>
            </w:r>
          </w:p>
        </w:tc>
      </w:tr>
      <w:tr>
        <w:trPr>
          <w:trHeight w:val="0" w:hRule="auto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42.</w:t>
            </w:r>
          </w:p>
        </w:tc>
        <w:tc>
          <w:tcPr>
            <w:tcW w:w="7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мероприятиях (пресс-конференции, брифинги, круглые столы) по антикоррупционной проблематике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6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</w:p>
        </w:tc>
      </w:tr>
      <w:tr>
        <w:trPr>
          <w:trHeight w:val="0" w:hRule="auto"/>
        </w:trPr>
        <w:tc>
          <w:tcPr>
            <w:tcW w:w="1478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Обеспечение доступа граждан и организаций к информации о деятельности Министерства</w:t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0" w:hRule="auto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ind w:right="-113"/>
              <w:spacing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43.</w:t>
            </w:r>
          </w:p>
        </w:tc>
        <w:tc>
          <w:tcPr>
            <w:tcW w:w="7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соблюдения правил приема граждан, в том числе выездных приемов, в рамках проведения единых информационных дней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6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</w:p>
        </w:tc>
      </w:tr>
      <w:tr>
        <w:trPr>
          <w:trHeight w:val="0" w:hRule="auto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ind w:right="-113"/>
              <w:spacing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44.</w:t>
            </w:r>
          </w:p>
        </w:tc>
        <w:tc>
          <w:tcPr>
            <w:tcW w:w="7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работы «телефонов доверия» для обращения граждан о злоупотреблениях должностных лиц органов исполнительной власти Чувашской Республики. Размещение на сайте Министерства в информационно-телекоммуникационной сети «Интернет» информации о «телефонах доверия»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6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</w:p>
        </w:tc>
      </w:tr>
      <w:tr>
        <w:trPr>
          <w:trHeight w:val="0" w:hRule="auto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ind w:right="-113" w:firstLine="113"/>
              <w:spacing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45.</w:t>
            </w:r>
          </w:p>
        </w:tc>
        <w:tc>
          <w:tcPr>
            <w:tcW w:w="7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заявлений и обращений граждан, поступающих в Министерство, а также результатов их рассмотрения на предмет наличия в них информации о фактах коррупции со стороны гражданских служащих, а также причинах и условиях, способствовавших проявлению таких фактов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мере поступления 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обращений</w:t>
            </w:r>
          </w:p>
        </w:tc>
        <w:tc>
          <w:tcPr>
            <w:tcW w:w="36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организационно-контрольной работы</w:t>
            </w:r>
          </w:p>
        </w:tc>
      </w:tr>
      <w:tr>
        <w:trPr>
          <w:trHeight w:val="0" w:hRule="auto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ind w:right="-113" w:firstLine="57"/>
              <w:spacing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46.</w:t>
            </w:r>
          </w:p>
        </w:tc>
        <w:tc>
          <w:tcPr>
            <w:tcW w:w="7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в информационно-телекоммуникационной сети «Интернет» информации о деятельности уполномоченного антикоррупционного органа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6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090534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</w:p>
        </w:tc>
      </w:tr>
    </w:tbl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footerReference w:type="default" r:id="rId9"/>
      <w:headerReference w:type="first" r:id="rId10"/>
      <w:footerReference w:type="first" r:id="rId11"/>
      <w:type w:val="nextPage"/>
      <w:pgSz w:h="11906" w:w="16838" w:orient="landscape"/>
      <w:pgMar w:left="1134" w:top="1797" w:right="998" w:bottom="899" w:header="709" w:footer="709"/>
      <w:paperSrc w:first="0" w:other="0"/>
      <w:pgNumType w:fmt="decimal"/>
      <w:titlePg/>
      <w:tmGutter w:val="3"/>
      <w:mirrorMargins w:val="0"/>
      <w:tmSection w:h="-2">
        <w:tmHeader w:id="0" w:h="0" edge="709" text="0">
          <w:shd w:val="none"/>
        </w:tmHeader>
        <w:tmFooter w:id="0" w:h="0" edge="709" text="0">
          <w:shd w:val="none"/>
        </w:tmFooter>
        <w:tmHeader w:id="2" w:h="0" edge="709" text="0">
          <w:shd w:val="none"/>
        </w:tmHeader>
        <w:tmFooter w:id="2" w:h="0" edge="709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Tahoma">
    <w:panose1 w:val="020B0604030504040204"/>
    <w:charset w:val="cc"/>
    <w:family w:val="swiss"/>
    <w:pitch w:val="default"/>
  </w:font>
  <w:font w:name="TimesET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0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-11430</wp:posOffset>
              </wp:positionV>
              <wp:extent cx="412750" cy="362585"/>
              <wp:effectExtent l="0" t="0" r="0" b="0"/>
              <wp:wrapSquare wrapText="bothSides"/>
              <wp:docPr id="1" name="Надпись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:sm="smNativeData" val="SMDATA_14_5n0AXh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DsCAADGQQAAgi4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U4gAAQAAAAAAAAAACAAAAAQAAAOsAAAAAAAAAAgAAAO7///+KAgAAOwIAAAAAAADNIAAAswIAAA=="/>
                        </a:ext>
                      </a:extLst>
                    </wps:cNvSpPr>
                    <wps:spPr>
                      <a:xfrm>
                        <a:off x="0" y="0"/>
                        <a:ext cx="412750" cy="36258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para2"/>
                            <w:rPr>
                              <w:rStyle w:val="char2"/>
                            </w:rPr>
                          </w:pPr>
                          <w:r>
                            <w:rPr>
                              <w:rStyle w:val="char2"/>
                            </w:rPr>
                          </w:r>
                          <w:r>
                            <w:rPr>
                              <w:rStyle w:val="char2"/>
                            </w:rPr>
                            <w:fldChar w:fldCharType="begin"/>
                            <w:instrText xml:space="preserve"> PAGE </w:instrText>
                            <w:fldChar w:fldCharType="separate"/>
                            <w:t>8</w:t>
                            <w:fldChar w:fldCharType="end"/>
                          </w:r>
                          <w:r>
                            <w:rPr>
                              <w:rStyle w:val="char2"/>
                            </w:rPr>
                          </w:r>
                        </w:p>
                      </w:txbxContent>
                    </wps:txbx>
                    <wps:bodyPr spcFirstLastPara="1" vertOverflow="clip" horzOverflow="clip" lIns="0" tIns="0" rIns="0" bIns="0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path gradientshapeok="t" o:connecttype="rect"/>
            </v:shapetype>
            <v:shape id="Надпись1" o:spid="_x0000_s2049" type="#_x0000_t202" style="position:absolute;mso-position-horizontal:center;margin-top:-0.90pt;mso-position-horizontal-relative:margin;width:32.50pt;height:28.55pt;z-index:251658241;mso-wrap-distance-left:0.00pt;mso-wrap-distance-top:0.00pt;mso-wrap-distance-right:0.00pt;mso-wrap-distance-bottom:0.00pt;mso-wrap-style:square" stroked="f" filled="f" v:ext="SMDATA_14_5n0AXh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DsCAADGQQAAgi4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U4gAAQAAAAAAAAAACAAAAAQAAAOsAAAAAAAAAAgAAAO7///+KAgAAOwIAAAAAAADNIAAAswIAAA==" o:insetmode="custom">
              <w10:wrap type="square" anchorx="margin" anchory="text"/>
              <v:textbox style="mso-fit-shape-to-text:t" inset="0.0pt,0.0pt,0.0pt,0.0pt">
                <w:txbxContent>
                  <w:p>
                    <w:pPr>
                      <w:pStyle w:val="para2"/>
                      <w:rPr>
                        <w:rStyle w:val="char2"/>
                      </w:rPr>
                    </w:pPr>
                    <w:r>
                      <w:rPr>
                        <w:rStyle w:val="char2"/>
                      </w:rPr>
                    </w:r>
                    <w:r>
                      <w:rPr>
                        <w:rStyle w:val="char2"/>
                      </w:rPr>
                      <w:fldChar w:fldCharType="begin"/>
                      <w:instrText xml:space="preserve"> PAGE </w:instrText>
                      <w:fldChar w:fldCharType="separate"/>
                      <w:t>8</w:t>
                      <w:fldChar w:fldCharType="end"/>
                    </w:r>
                    <w:r>
                      <w:rPr>
                        <w:rStyle w:val="char2"/>
                      </w:rPr>
                    </w:r>
                  </w:p>
                </w:txbxContent>
              </v:textbox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view w:val="print"/>
  <w:defaultTabStop w:val="708"/>
  <w:autoHyphenation w:val="1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5121"/>
    <o:shapelayout v:ext="edit">
      <o:rules v:ext="edit"/>
    </o:shapelayout>
  </w:shapeDefaults>
  <w:tmPrefOne w:val="17"/>
  <w:tmPrefTwo w:val="1"/>
  <w:tmFmtPref w:val="189283691"/>
  <w:tmCommentsPr>
    <w:tmCommentsPlace w:val="0"/>
    <w:tmCommentsWidth w:val="3119"/>
    <w:tmCommentsColor w:val="-1"/>
  </w:tmCommentsPr>
  <w:tmReviewPr>
    <w:tmReviewEnabled w:val="0"/>
    <w:tmReviewShow w:val="1"/>
    <w:tmReviewPrint w:val="1"/>
    <w:tmRevisionNum w:val="3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2"/>
      <w:tmLastPosIdx w:val="28"/>
    </w:tmLastPosCaret>
    <w:tmLastPosAnchor>
      <w:tmLastPosPgfIdx w:val="0"/>
      <w:tmLastPosIdx w:val="0"/>
    </w:tmLastPosAnchor>
    <w:tmLastPosTblRect w:left="0" w:top="0" w:right="0" w:bottom="0"/>
  </w:tmLastPos>
  <w:tmAppRevision w:date="1577090534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sz w:val="24"/>
      <w:szCs w:val="24"/>
    </w:rPr>
  </w:style>
  <w:style w:type="paragraph" w:styleId="para1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2">
    <w:name w:val="Head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3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4">
    <w:name w:val="Normal (Web)"/>
    <w:qFormat/>
    <w:basedOn w:val="para0"/>
    <w:pPr>
      <w:spacing w:before="100" w:after="100" w:beforeAutospacing="1" w:afterAutospacing="1"/>
    </w:pPr>
  </w:style>
  <w:style w:type="character" w:styleId="char0" w:default="1">
    <w:name w:val="Default Paragraph Font"/>
  </w:style>
  <w:style w:type="character" w:styleId="char1">
    <w:name w:val="Hyperlink"/>
    <w:rPr>
      <w:strike w:val="0"/>
      <w:dstrike w:val="0"/>
      <w:color w:val="auto"/>
      <w:u w:color="auto" w:val="none"/>
    </w:rPr>
  </w:style>
  <w:style w:type="character" w:styleId="char2">
    <w:name w:val="Page Number"/>
  </w:style>
  <w:style w:type="character" w:styleId="char3" w:customStyle="1">
    <w:name w:val="Нижний колонтитул Знак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sz w:val="24"/>
      <w:szCs w:val="24"/>
    </w:rPr>
  </w:style>
  <w:style w:type="paragraph" w:styleId="para1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2">
    <w:name w:val="Head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3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4">
    <w:name w:val="Normal (Web)"/>
    <w:qFormat/>
    <w:basedOn w:val="para0"/>
    <w:pPr>
      <w:spacing w:before="100" w:after="100" w:beforeAutospacing="1" w:afterAutospacing="1"/>
    </w:pPr>
  </w:style>
  <w:style w:type="character" w:styleId="char0" w:default="1">
    <w:name w:val="Default Paragraph Font"/>
  </w:style>
  <w:style w:type="character" w:styleId="char1">
    <w:name w:val="Hyperlink"/>
    <w:rPr>
      <w:strike w:val="0"/>
      <w:dstrike w:val="0"/>
      <w:color w:val="auto"/>
      <w:u w:color="auto" w:val="none"/>
    </w:rPr>
  </w:style>
  <w:style w:type="character" w:styleId="char2">
    <w:name w:val="Page Number"/>
  </w:style>
  <w:style w:type="character" w:styleId="char3" w:customStyle="1">
    <w:name w:val="Нижний колонтитул Знак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Relationship Id="rId1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 приказом</dc:title>
  <dc:subject/>
  <dc:creator>minust18</dc:creator>
  <cp:keywords/>
  <dc:description/>
  <cp:lastModifiedBy>Маринкина</cp:lastModifiedBy>
  <cp:revision>36</cp:revision>
  <cp:lastPrinted>2018-12-24T06:01:17Z</cp:lastPrinted>
  <dcterms:created xsi:type="dcterms:W3CDTF">2018-07-19T10:39:00Z</dcterms:created>
  <dcterms:modified xsi:type="dcterms:W3CDTF">2019-12-23T08:42:14Z</dcterms:modified>
</cp:coreProperties>
</file>