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703"/>
      </w:tblGrid>
      <w:tr w:rsidR="004516E5">
        <w:tblPrEx>
          <w:tblCellMar>
            <w:top w:w="0" w:type="dxa"/>
            <w:bottom w:w="0" w:type="dxa"/>
          </w:tblCellMar>
        </w:tblPrEx>
        <w:trPr>
          <w:trHeight w:val="382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6E5" w:rsidRDefault="004516E5">
            <w:pPr>
              <w:rPr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6E5" w:rsidRDefault="00A13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4516E5" w:rsidRDefault="00A132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Министр строительства, архитектуры</w:t>
            </w:r>
          </w:p>
          <w:p w:rsidR="004516E5" w:rsidRDefault="00A132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 жилищно-коммунального хозяйства </w:t>
            </w:r>
          </w:p>
          <w:p w:rsidR="004516E5" w:rsidRDefault="00A132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Чувашской Республики </w:t>
            </w:r>
          </w:p>
          <w:p w:rsidR="004516E5" w:rsidRDefault="004516E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16E5" w:rsidRDefault="00A132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А.В. Героев</w:t>
            </w:r>
          </w:p>
          <w:p w:rsidR="004516E5" w:rsidRDefault="004516E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516E5" w:rsidRDefault="00A13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 _______________ 2020 г.</w:t>
            </w:r>
          </w:p>
        </w:tc>
      </w:tr>
    </w:tbl>
    <w:p w:rsidR="004516E5" w:rsidRDefault="004516E5">
      <w:pPr>
        <w:rPr>
          <w:rFonts w:ascii="Times New Roman" w:hAnsi="Times New Roman"/>
          <w:sz w:val="26"/>
          <w:szCs w:val="26"/>
        </w:rPr>
      </w:pPr>
    </w:p>
    <w:p w:rsidR="004516E5" w:rsidRDefault="004516E5">
      <w:pPr>
        <w:rPr>
          <w:rFonts w:ascii="Times New Roman" w:hAnsi="Times New Roman"/>
          <w:sz w:val="26"/>
          <w:szCs w:val="26"/>
        </w:rPr>
      </w:pPr>
    </w:p>
    <w:p w:rsidR="004516E5" w:rsidRDefault="004516E5">
      <w:pPr>
        <w:rPr>
          <w:rFonts w:ascii="Times New Roman" w:hAnsi="Times New Roman"/>
          <w:sz w:val="26"/>
          <w:szCs w:val="26"/>
        </w:rPr>
      </w:pPr>
    </w:p>
    <w:p w:rsidR="004516E5" w:rsidRDefault="004516E5">
      <w:pPr>
        <w:rPr>
          <w:rFonts w:ascii="Times New Roman" w:hAnsi="Times New Roman"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4516E5" w:rsidRDefault="004516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Чувашской Республики ведущей группы должностей</w:t>
      </w:r>
    </w:p>
    <w:p w:rsidR="004516E5" w:rsidRDefault="004516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консультанта отдела </w:t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коммунально-инженерной инфраструктуры </w:t>
      </w:r>
      <w:r>
        <w:br w:type="page"/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6"/>
          <w:szCs w:val="26"/>
        </w:rPr>
        <w:t>. Об</w:t>
      </w:r>
      <w:r>
        <w:rPr>
          <w:rFonts w:ascii="Times New Roman" w:hAnsi="Times New Roman"/>
          <w:b/>
          <w:sz w:val="26"/>
          <w:szCs w:val="26"/>
        </w:rPr>
        <w:t>щие положения</w:t>
      </w:r>
    </w:p>
    <w:p w:rsidR="004516E5" w:rsidRDefault="004516E5">
      <w:pPr>
        <w:pStyle w:val="a9"/>
        <w:ind w:left="1080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Должность государственной гражданской службы Чувашской Республ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ки консультанта отдела коммунально-инженерной инфраструктуры (далее – 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сультант) учреждается в Министерстве строительства, архитектуры и жилищно-коммунального хозяйства Чувашской Республ</w:t>
      </w:r>
      <w:r>
        <w:rPr>
          <w:rFonts w:ascii="Times New Roman" w:hAnsi="Times New Roman"/>
          <w:sz w:val="26"/>
          <w:szCs w:val="26"/>
        </w:rPr>
        <w:t>ики (далее – министерство) с целью обеспечения деятельности отдела коммунально-инженерной инфраструктуры (д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лее – отдел) в соответствии с Положением об отделе. 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соответствии с подразделом 3 раздела 3 Реестра должностей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ственной гражданской сл</w:t>
      </w:r>
      <w:r>
        <w:rPr>
          <w:rFonts w:ascii="Times New Roman" w:hAnsi="Times New Roman"/>
          <w:sz w:val="26"/>
          <w:szCs w:val="26"/>
        </w:rPr>
        <w:t>ужбы Чувашской Республики, утвержденного Указом Президента Чувашской Республики от 1 сентября 2006 г. № 73, должность «ко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сультант» относится к категории «специалисты» ведущей группы должностей и имеет регистрационный номер (код) 3-3-3-18.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Область про</w:t>
      </w:r>
      <w:r>
        <w:rPr>
          <w:rFonts w:ascii="Times New Roman" w:hAnsi="Times New Roman"/>
          <w:sz w:val="26"/>
          <w:szCs w:val="26"/>
        </w:rPr>
        <w:t>фессиональной служебной деятельности государственного гражданского служащего Чувашской Республики (далее – гражданский служащий): регулирование коммунального хозяйства и строительства объектов коммунальной инфраструктуры.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Вид профессиональной служебно</w:t>
      </w:r>
      <w:r>
        <w:rPr>
          <w:rFonts w:ascii="Times New Roman" w:hAnsi="Times New Roman"/>
          <w:sz w:val="26"/>
          <w:szCs w:val="26"/>
        </w:rPr>
        <w:t>й деятельности гражданского служащ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го: регулирование в сфере коммунальных и эксплуатационных услуг, строител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ство объектов коммунальной инфраструктуры.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Консультант назначается на должность и освобождается от должности министром строительства, архитект</w:t>
      </w:r>
      <w:r>
        <w:rPr>
          <w:rFonts w:ascii="Times New Roman" w:hAnsi="Times New Roman"/>
          <w:sz w:val="26"/>
          <w:szCs w:val="26"/>
        </w:rPr>
        <w:t>уры и жилищно-коммунального хозяйства Ч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вашской Республики и непосредственно подчиняется начальнику отдела.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период отсутствия консультанта его обязанности распределяются начальником отдела между государственными гражданскими служащими отдела.</w:t>
      </w:r>
    </w:p>
    <w:p w:rsidR="004516E5" w:rsidRDefault="004516E5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К</w:t>
      </w:r>
      <w:r>
        <w:rPr>
          <w:rFonts w:ascii="Times New Roman" w:hAnsi="Times New Roman"/>
          <w:b/>
          <w:sz w:val="26"/>
          <w:szCs w:val="26"/>
        </w:rPr>
        <w:t>валификационные требования</w:t>
      </w:r>
    </w:p>
    <w:p w:rsidR="004516E5" w:rsidRDefault="004516E5">
      <w:pPr>
        <w:ind w:firstLine="737"/>
        <w:jc w:val="center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консультанта устанавливаются базовые и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фессионально-функциональные квалификационные требования. </w:t>
      </w:r>
    </w:p>
    <w:p w:rsidR="004516E5" w:rsidRDefault="00A13251">
      <w:pPr>
        <w:pStyle w:val="a3"/>
        <w:tabs>
          <w:tab w:val="left" w:pos="540"/>
        </w:tabs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Базовые квалификационные требования: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Гражданский служащий, замещающий должность консультанта</w:t>
      </w:r>
      <w:r>
        <w:rPr>
          <w:rFonts w:ascii="Times New Roman" w:hAnsi="Times New Roman"/>
          <w:sz w:val="26"/>
          <w:szCs w:val="26"/>
        </w:rPr>
        <w:t>, до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жен иметь высшее образование. </w:t>
      </w:r>
    </w:p>
    <w:p w:rsidR="004516E5" w:rsidRDefault="00A13251">
      <w:pPr>
        <w:ind w:firstLine="737"/>
        <w:jc w:val="both"/>
        <w:rPr>
          <w:rStyle w:val="FontStyle1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2.1.2. Для должности </w:t>
      </w:r>
      <w:r>
        <w:rPr>
          <w:rStyle w:val="FontStyle11"/>
          <w:sz w:val="26"/>
          <w:szCs w:val="26"/>
        </w:rPr>
        <w:t>консультанта требования к стажу гражданской службы или работы по специальности, направлению подготовки не устанавливаются.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Консультант должен обладать следующими базовыми знаниями и умениями: </w:t>
      </w:r>
    </w:p>
    <w:p w:rsidR="004516E5" w:rsidRDefault="00A13251">
      <w:pPr>
        <w:pStyle w:val="a3"/>
        <w:tabs>
          <w:tab w:val="left" w:pos="540"/>
        </w:tabs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4516E5" w:rsidRDefault="00A13251">
      <w:pPr>
        <w:pStyle w:val="a3"/>
        <w:tabs>
          <w:tab w:val="left" w:pos="540"/>
        </w:tabs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знаниями основ: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Конституции Российской Федерации; 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федеральных законов «О системе государственной службы Российской Ф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дерации», «О государственной гражданской службе Российской Фе</w:t>
      </w:r>
      <w:r>
        <w:rPr>
          <w:rFonts w:ascii="Times New Roman" w:hAnsi="Times New Roman"/>
          <w:sz w:val="26"/>
          <w:szCs w:val="26"/>
        </w:rPr>
        <w:t>дерации», «О противодействии коррупции»;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знаниями и умениями в области информационно-коммуникационных те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нологий: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основ информационной безопасности и защиты информации;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основных положений законодательства о персональных данных;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lastRenderedPageBreak/>
        <w:t xml:space="preserve">знание </w:t>
      </w:r>
      <w:r>
        <w:rPr>
          <w:rFonts w:ascii="Times New Roman" w:hAnsi="Times New Roman"/>
          <w:kern w:val="1"/>
          <w:sz w:val="26"/>
          <w:szCs w:val="26"/>
        </w:rPr>
        <w:t>общих принципов функционирования системы электронного док</w:t>
      </w:r>
      <w:r>
        <w:rPr>
          <w:rFonts w:ascii="Times New Roman" w:hAnsi="Times New Roman"/>
          <w:kern w:val="1"/>
          <w:sz w:val="26"/>
          <w:szCs w:val="26"/>
        </w:rPr>
        <w:t>у</w:t>
      </w:r>
      <w:r>
        <w:rPr>
          <w:rFonts w:ascii="Times New Roman" w:hAnsi="Times New Roman"/>
          <w:kern w:val="1"/>
          <w:sz w:val="26"/>
          <w:szCs w:val="26"/>
        </w:rPr>
        <w:t>ментооборота;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знания и умения по применению персонального компьютера.</w:t>
      </w:r>
    </w:p>
    <w:p w:rsidR="004516E5" w:rsidRDefault="004516E5">
      <w:pPr>
        <w:ind w:firstLine="737"/>
        <w:jc w:val="both"/>
        <w:rPr>
          <w:rFonts w:ascii="Times New Roman" w:hAnsi="Times New Roman"/>
          <w:sz w:val="26"/>
          <w:szCs w:val="26"/>
        </w:rPr>
      </w:pP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2.1.4. Умения гражданского служащего, замещающего должность консул</w:t>
      </w:r>
      <w:r>
        <w:rPr>
          <w:rFonts w:ascii="Times New Roman" w:hAnsi="Times New Roman"/>
          <w:kern w:val="1"/>
          <w:sz w:val="26"/>
          <w:szCs w:val="26"/>
        </w:rPr>
        <w:t>ь</w:t>
      </w:r>
      <w:r>
        <w:rPr>
          <w:rFonts w:ascii="Times New Roman" w:hAnsi="Times New Roman"/>
          <w:kern w:val="1"/>
          <w:sz w:val="26"/>
          <w:szCs w:val="26"/>
        </w:rPr>
        <w:t>танта, должны включать: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1) общие умения: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достигать ре</w:t>
      </w:r>
      <w:r>
        <w:rPr>
          <w:rFonts w:ascii="Times New Roman" w:hAnsi="Times New Roman"/>
          <w:kern w:val="1"/>
          <w:sz w:val="26"/>
          <w:szCs w:val="26"/>
        </w:rPr>
        <w:t>зультата;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мыслить системно (стратегически);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планировать и рационально использовать служебное время и дост</w:t>
      </w:r>
      <w:r>
        <w:rPr>
          <w:rFonts w:ascii="Times New Roman" w:hAnsi="Times New Roman"/>
          <w:kern w:val="1"/>
          <w:sz w:val="26"/>
          <w:szCs w:val="26"/>
        </w:rPr>
        <w:t>и</w:t>
      </w:r>
      <w:r>
        <w:rPr>
          <w:rFonts w:ascii="Times New Roman" w:hAnsi="Times New Roman"/>
          <w:kern w:val="1"/>
          <w:sz w:val="26"/>
          <w:szCs w:val="26"/>
        </w:rPr>
        <w:t>гать результата;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коммуникативные умения;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умение управлять изменениями; 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2) управленческие умения: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эффективно планировать, организ</w:t>
      </w:r>
      <w:r>
        <w:rPr>
          <w:rFonts w:ascii="Times New Roman" w:hAnsi="Times New Roman"/>
          <w:kern w:val="1"/>
          <w:sz w:val="26"/>
          <w:szCs w:val="26"/>
        </w:rPr>
        <w:t>овывать работу и контролировать ее выполнение;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оперативно принимать и реализовывать управленческие решения.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Профессионально-функциональные квалификационные требования: </w:t>
      </w:r>
    </w:p>
    <w:p w:rsidR="004516E5" w:rsidRDefault="00A13251">
      <w:pPr>
        <w:ind w:firstLine="737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r>
        <w:rPr>
          <w:rFonts w:ascii="Times New Roman" w:hAnsi="Times New Roman"/>
          <w:kern w:val="1"/>
          <w:sz w:val="26"/>
          <w:szCs w:val="26"/>
        </w:rPr>
        <w:t>Гражданский служащий, замещающий должность консультанта отдела, должен имет</w:t>
      </w:r>
      <w:r>
        <w:rPr>
          <w:rFonts w:ascii="Times New Roman" w:hAnsi="Times New Roman"/>
          <w:kern w:val="1"/>
          <w:sz w:val="26"/>
          <w:szCs w:val="26"/>
        </w:rPr>
        <w:t>ь высшее образование по специальност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и(</w:t>
      </w:r>
      <w:proofErr w:type="gramEnd"/>
      <w:r>
        <w:rPr>
          <w:rFonts w:ascii="Times New Roman" w:hAnsi="Times New Roman"/>
          <w:kern w:val="1"/>
          <w:sz w:val="26"/>
          <w:szCs w:val="26"/>
        </w:rPr>
        <w:t>ям), направлению(ям) подг</w:t>
      </w:r>
      <w:r>
        <w:rPr>
          <w:rFonts w:ascii="Times New Roman" w:hAnsi="Times New Roman"/>
          <w:kern w:val="1"/>
          <w:sz w:val="26"/>
          <w:szCs w:val="26"/>
        </w:rPr>
        <w:t>о</w:t>
      </w:r>
      <w:r>
        <w:rPr>
          <w:rFonts w:ascii="Times New Roman" w:hAnsi="Times New Roman"/>
          <w:kern w:val="1"/>
          <w:sz w:val="26"/>
          <w:szCs w:val="26"/>
        </w:rPr>
        <w:t>товки «Экономика», и(или) «Юриспруденция» или иному направлению подготовки (специальности), для которого законодательством об образовании Российской Ф</w:t>
      </w:r>
      <w:r>
        <w:rPr>
          <w:rFonts w:ascii="Times New Roman" w:hAnsi="Times New Roman"/>
          <w:kern w:val="1"/>
          <w:sz w:val="26"/>
          <w:szCs w:val="26"/>
        </w:rPr>
        <w:t>е</w:t>
      </w:r>
      <w:r>
        <w:rPr>
          <w:rFonts w:ascii="Times New Roman" w:hAnsi="Times New Roman"/>
          <w:kern w:val="1"/>
          <w:sz w:val="26"/>
          <w:szCs w:val="26"/>
        </w:rPr>
        <w:t xml:space="preserve">дерации установлено соответствие данному </w:t>
      </w:r>
      <w:r>
        <w:rPr>
          <w:rFonts w:ascii="Times New Roman" w:hAnsi="Times New Roman"/>
          <w:kern w:val="1"/>
          <w:sz w:val="26"/>
          <w:szCs w:val="26"/>
        </w:rPr>
        <w:t>направлению подготовки (специальн</w:t>
      </w:r>
      <w:r>
        <w:rPr>
          <w:rFonts w:ascii="Times New Roman" w:hAnsi="Times New Roman"/>
          <w:kern w:val="1"/>
          <w:sz w:val="26"/>
          <w:szCs w:val="26"/>
        </w:rPr>
        <w:t>о</w:t>
      </w:r>
      <w:r>
        <w:rPr>
          <w:rFonts w:ascii="Times New Roman" w:hAnsi="Times New Roman"/>
          <w:kern w:val="1"/>
          <w:sz w:val="26"/>
          <w:szCs w:val="26"/>
        </w:rPr>
        <w:t>сти), указанному в предыдущих перечнях профессий, специальностей и направл</w:t>
      </w:r>
      <w:r>
        <w:rPr>
          <w:rFonts w:ascii="Times New Roman" w:hAnsi="Times New Roman"/>
          <w:kern w:val="1"/>
          <w:sz w:val="26"/>
          <w:szCs w:val="26"/>
        </w:rPr>
        <w:t>е</w:t>
      </w:r>
      <w:r>
        <w:rPr>
          <w:rFonts w:ascii="Times New Roman" w:hAnsi="Times New Roman"/>
          <w:kern w:val="1"/>
          <w:sz w:val="26"/>
          <w:szCs w:val="26"/>
        </w:rPr>
        <w:t>ний подготовки.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Гражданский служащий, замещающий должность консультанта, до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жен обладать следующими профессиональными знаниями в сфере закон</w:t>
      </w:r>
      <w:r>
        <w:rPr>
          <w:rFonts w:ascii="Times New Roman" w:hAnsi="Times New Roman"/>
          <w:sz w:val="26"/>
          <w:szCs w:val="26"/>
        </w:rPr>
        <w:t>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ства Российской Федерации и законодательства Чувашской Республики: 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27 июля 2010 года № 190-ФЗ «О теплоснабжении»;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7 декабря 2011 г. № 416-ФЗ «О водоснабжении и 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доотведении»;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21 июля 2</w:t>
      </w:r>
      <w:r>
        <w:rPr>
          <w:rFonts w:ascii="Times New Roman" w:hAnsi="Times New Roman"/>
          <w:sz w:val="26"/>
          <w:szCs w:val="26"/>
        </w:rPr>
        <w:t>007 г. № 185–ФЗ «О Фонде содействия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формированию жилищно-коммунального хозяйства»;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Бюджетный кодекс Российской Федерации от 31 июля 1998 г. № 145-ФЗ;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Жилищный кодекс Российской Федерации от 29 декабря 2004 г. № 188-ФЗ;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«О порядке рассмо</w:t>
      </w:r>
      <w:r>
        <w:rPr>
          <w:rFonts w:ascii="Times New Roman" w:hAnsi="Times New Roman"/>
          <w:sz w:val="26"/>
          <w:szCs w:val="26"/>
        </w:rPr>
        <w:t>трения обращений граждан» от 2.05.2006 № 59-ФЗ;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Правительства РФ от 6 мая 2011 г. № 354 «О предоставлении коммунальных услуг собственникам и пользователям помещений в многокварти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ных домах и жилых домов»;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Чувашской Республики  от 23 июл</w:t>
      </w:r>
      <w:r>
        <w:rPr>
          <w:rFonts w:ascii="Times New Roman" w:hAnsi="Times New Roman"/>
          <w:sz w:val="26"/>
          <w:szCs w:val="26"/>
        </w:rPr>
        <w:t>я 2001 № 36 «О регулировании бюджетных правоотношений в Чувашской Республике»;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Кабинета Министров Чувашской Республики от 9 декабря 2010 г. № 428 «Об утверждении правил формирования и реализации Республика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ской адресной инвестиционной програм</w:t>
      </w:r>
      <w:r>
        <w:rPr>
          <w:rFonts w:ascii="Times New Roman" w:hAnsi="Times New Roman"/>
          <w:sz w:val="26"/>
          <w:szCs w:val="26"/>
        </w:rPr>
        <w:t>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Постановление Кабинета Министров Чувашской Республики от 29 ноября </w:t>
      </w:r>
      <w:r>
        <w:rPr>
          <w:rFonts w:ascii="Times New Roman" w:hAnsi="Times New Roman"/>
          <w:sz w:val="26"/>
          <w:szCs w:val="26"/>
        </w:rPr>
        <w:t>2019 г. № 511 «Об утверждении правил формирования, предоставления и распр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деления субсидий из республиканского бюджета Чувашской Республики бюджетам муниципальных районов и бюджетам городских округов и порядка определения и установления предельного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Чувашской Республикой объема расходного обязательства муниципального района и городского округа»;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Кабинета Министров Чувашской Республики от 29 декабря 2018 г. № 588 «О государственной программе Чувашской Республики «Модерн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ация и развитие сферы жилищно-коммунального хозяйства»;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 Президента Чувашской Республики от 7 июня 2011 г. № 45 «Об утве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ждении Порядка подготовки и внесения проектов указов и распоряжений Главы Чувашской Республики»;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Кабинета Министров Ч</w:t>
      </w:r>
      <w:r>
        <w:rPr>
          <w:rFonts w:ascii="Times New Roman" w:hAnsi="Times New Roman"/>
          <w:sz w:val="26"/>
          <w:szCs w:val="26"/>
        </w:rPr>
        <w:t>увашской Республики от 17 января 2006 г. № 8 «О порядке подготовки и внесения изменения проектов постановлений и Распоряжений Кабинета Министров Чувашской Республики»;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энергетики Российской Федерации от 30 декабря 2008 г. № 323 </w:t>
      </w:r>
      <w:r>
        <w:rPr>
          <w:rFonts w:ascii="Times New Roman" w:hAnsi="Times New Roman"/>
          <w:kern w:val="1"/>
          <w:sz w:val="26"/>
          <w:szCs w:val="26"/>
        </w:rPr>
        <w:t xml:space="preserve">«Об </w:t>
      </w:r>
      <w:r>
        <w:rPr>
          <w:rFonts w:ascii="Times New Roman" w:hAnsi="Times New Roman"/>
          <w:kern w:val="1"/>
          <w:sz w:val="26"/>
          <w:szCs w:val="26"/>
        </w:rPr>
        <w:t xml:space="preserve">утверждении </w:t>
      </w:r>
      <w:proofErr w:type="gramStart"/>
      <w:r>
        <w:rPr>
          <w:rFonts w:ascii="Times New Roman" w:hAnsi="Times New Roman"/>
          <w:kern w:val="1"/>
          <w:sz w:val="26"/>
          <w:szCs w:val="26"/>
        </w:rPr>
        <w:t>порядка определения нормативов удельного расхода топлива</w:t>
      </w:r>
      <w:proofErr w:type="gramEnd"/>
      <w:r>
        <w:rPr>
          <w:rFonts w:ascii="Times New Roman" w:hAnsi="Times New Roman"/>
          <w:kern w:val="1"/>
          <w:sz w:val="26"/>
          <w:szCs w:val="26"/>
        </w:rPr>
        <w:t xml:space="preserve"> при производстве электрической и тепловой энергии»</w:t>
      </w:r>
      <w:r>
        <w:rPr>
          <w:rFonts w:ascii="Times New Roman" w:hAnsi="Times New Roman"/>
          <w:sz w:val="26"/>
          <w:szCs w:val="26"/>
        </w:rPr>
        <w:t>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энергетики Российской Федерации от 30 декабря 2008 г. № 325</w:t>
      </w:r>
      <w:r>
        <w:rPr>
          <w:rFonts w:ascii="Times New Roman" w:hAnsi="Times New Roman"/>
          <w:kern w:val="1"/>
          <w:sz w:val="26"/>
          <w:szCs w:val="26"/>
        </w:rPr>
        <w:t xml:space="preserve"> «Об утверждении порядка определения нормативов технолог</w:t>
      </w:r>
      <w:r>
        <w:rPr>
          <w:rFonts w:ascii="Times New Roman" w:hAnsi="Times New Roman"/>
          <w:kern w:val="1"/>
          <w:sz w:val="26"/>
          <w:szCs w:val="26"/>
        </w:rPr>
        <w:t>ических п</w:t>
      </w:r>
      <w:r>
        <w:rPr>
          <w:rFonts w:ascii="Times New Roman" w:hAnsi="Times New Roman"/>
          <w:kern w:val="1"/>
          <w:sz w:val="26"/>
          <w:szCs w:val="26"/>
        </w:rPr>
        <w:t>о</w:t>
      </w:r>
      <w:r>
        <w:rPr>
          <w:rFonts w:ascii="Times New Roman" w:hAnsi="Times New Roman"/>
          <w:kern w:val="1"/>
          <w:sz w:val="26"/>
          <w:szCs w:val="26"/>
        </w:rPr>
        <w:t>терь при передаче тепловой энергии, теплоносителя</w:t>
      </w:r>
      <w:r>
        <w:rPr>
          <w:rFonts w:ascii="Times New Roman" w:hAnsi="Times New Roman"/>
          <w:sz w:val="26"/>
          <w:szCs w:val="26"/>
        </w:rPr>
        <w:t>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Приказ Министерства энергетики Российской Федерации от 10.08.2012 г. № 377 «О порядке определения нормативов технологических потерь при передаче тепловой энергии, теплоносителя, нормативов удель</w:t>
      </w:r>
      <w:r>
        <w:rPr>
          <w:rFonts w:ascii="Times New Roman" w:hAnsi="Times New Roman"/>
          <w:sz w:val="26"/>
          <w:szCs w:val="26"/>
        </w:rPr>
        <w:t>ного расхода топлива при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изводстве тепловой энергии, нормативов запасов топлива на источниках тепловой энергии (за исключением источников тепловой энергии, функционирующих в ре-жиме комбинированной выработки электрической и тепловой энергии), в том чи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е в целях государственного регулирования цен (тарифов) в сфере</w:t>
      </w:r>
      <w:proofErr w:type="gramEnd"/>
      <w:r>
        <w:rPr>
          <w:rFonts w:ascii="Times New Roman" w:hAnsi="Times New Roman"/>
          <w:sz w:val="26"/>
          <w:szCs w:val="26"/>
        </w:rPr>
        <w:t xml:space="preserve"> теплоснабж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14 июня 2013 г. № 502 «Об утверждении требований к программам комплексного развития систем коммунальной инфраструктуры посел</w:t>
      </w:r>
      <w:r>
        <w:rPr>
          <w:rFonts w:ascii="Times New Roman" w:hAnsi="Times New Roman"/>
          <w:sz w:val="26"/>
          <w:szCs w:val="26"/>
        </w:rPr>
        <w:t>ений, городских округов»;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16.05.2014 № 452 «</w:t>
      </w:r>
      <w:r>
        <w:rPr>
          <w:rFonts w:ascii="Times New Roman" w:hAnsi="Times New Roman"/>
          <w:kern w:val="1"/>
          <w:sz w:val="26"/>
          <w:szCs w:val="26"/>
        </w:rPr>
        <w:t>Об утверждении правил определения плановых и расчета фактических значений показателей надежности и энергетической эффективности объектов теплоснабж</w:t>
      </w:r>
      <w:r>
        <w:rPr>
          <w:rFonts w:ascii="Times New Roman" w:hAnsi="Times New Roman"/>
          <w:kern w:val="1"/>
          <w:sz w:val="26"/>
          <w:szCs w:val="26"/>
        </w:rPr>
        <w:t>е</w:t>
      </w:r>
      <w:r>
        <w:rPr>
          <w:rFonts w:ascii="Times New Roman" w:hAnsi="Times New Roman"/>
          <w:kern w:val="1"/>
          <w:sz w:val="26"/>
          <w:szCs w:val="26"/>
        </w:rPr>
        <w:t>ния, а также</w:t>
      </w:r>
      <w:r>
        <w:rPr>
          <w:rFonts w:ascii="Times New Roman" w:hAnsi="Times New Roman"/>
          <w:kern w:val="1"/>
          <w:sz w:val="26"/>
          <w:szCs w:val="26"/>
        </w:rPr>
        <w:t xml:space="preserve"> определения достижения организацией, осуществляющей регулиру</w:t>
      </w:r>
      <w:r>
        <w:rPr>
          <w:rFonts w:ascii="Times New Roman" w:hAnsi="Times New Roman"/>
          <w:kern w:val="1"/>
          <w:sz w:val="26"/>
          <w:szCs w:val="26"/>
        </w:rPr>
        <w:t>е</w:t>
      </w:r>
      <w:r>
        <w:rPr>
          <w:rFonts w:ascii="Times New Roman" w:hAnsi="Times New Roman"/>
          <w:kern w:val="1"/>
          <w:sz w:val="26"/>
          <w:szCs w:val="26"/>
        </w:rPr>
        <w:t>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4516E5" w:rsidRDefault="004516E5">
      <w:pPr>
        <w:ind w:firstLine="737"/>
        <w:jc w:val="both"/>
        <w:rPr>
          <w:rFonts w:ascii="Times New Roman" w:hAnsi="Times New Roman"/>
          <w:sz w:val="26"/>
          <w:szCs w:val="26"/>
        </w:rPr>
      </w:pP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 Иные професс</w:t>
      </w:r>
      <w:r>
        <w:rPr>
          <w:rFonts w:ascii="Times New Roman" w:hAnsi="Times New Roman"/>
          <w:sz w:val="26"/>
          <w:szCs w:val="26"/>
        </w:rPr>
        <w:t xml:space="preserve">иональные знания консультанта должны включать: 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знания порядка подготовки и согласования проектов нормативных правовых актов, государственных программ (подпрограмм); 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знание порядка и условий финансирования объектов строительства за счет средств республика</w:t>
      </w:r>
      <w:r>
        <w:rPr>
          <w:rFonts w:ascii="Times New Roman" w:hAnsi="Times New Roman"/>
          <w:sz w:val="26"/>
          <w:szCs w:val="26"/>
        </w:rPr>
        <w:t>нского бюджета Чувашской Республики;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организации бюджетного процесса;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знания порядка подготовки и согласования проектов соглашений с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ральными органами власти;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понятие теплоснабжения;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качества теплоснабжения;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источника тепловой эн</w:t>
      </w:r>
      <w:r>
        <w:rPr>
          <w:rFonts w:ascii="Times New Roman" w:hAnsi="Times New Roman"/>
          <w:sz w:val="26"/>
          <w:szCs w:val="26"/>
        </w:rPr>
        <w:t>ергии;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потребителя тепловой энергии;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теплоснабжающей организации.</w:t>
      </w:r>
    </w:p>
    <w:p w:rsidR="004516E5" w:rsidRDefault="00A13251">
      <w:pPr>
        <w:keepNext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 Гражданский служащий, замещающий должность консультанта, до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жен обладать следующими профессиональными умениями: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и обеспечивать реализацию текущих задач в</w:t>
      </w:r>
      <w:r>
        <w:rPr>
          <w:rFonts w:ascii="Times New Roman" w:hAnsi="Times New Roman"/>
          <w:sz w:val="26"/>
          <w:szCs w:val="26"/>
        </w:rPr>
        <w:t xml:space="preserve"> области комм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нально-инженерной инфраструктуры, направленных на решение вопросов в обл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сти теплоснабжения;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нормативно-правовые акты в области теплоснабжения;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анализ реализации национальных проектов, курируемых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ственных програ</w:t>
      </w:r>
      <w:r>
        <w:rPr>
          <w:rFonts w:ascii="Times New Roman" w:hAnsi="Times New Roman"/>
          <w:sz w:val="26"/>
          <w:szCs w:val="26"/>
        </w:rPr>
        <w:t>мм (подпрограмм), мероприятий государственных программ (по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программ);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предложений по финансированию объектов капитального строительства в курируемой сфере;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бюджета при реализации национальных проектов,  курируемых государственных пр</w:t>
      </w:r>
      <w:r>
        <w:rPr>
          <w:rFonts w:ascii="Times New Roman" w:hAnsi="Times New Roman"/>
          <w:sz w:val="26"/>
          <w:szCs w:val="26"/>
        </w:rPr>
        <w:t>ограмм (подпрограмм), мероприятий курируемых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ственных программ (подпрограмм);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бюджетных заявок на ассигнования из федерального бюджета по государственным программам Российской Федерации, из республиканского бю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жета по государственным прог</w:t>
      </w:r>
      <w:r>
        <w:rPr>
          <w:rFonts w:ascii="Times New Roman" w:hAnsi="Times New Roman"/>
          <w:sz w:val="26"/>
          <w:szCs w:val="26"/>
        </w:rPr>
        <w:t>раммам Чувашской Республики.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2.2.5. Гражданский служащий, замещающий должность консультанта, до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жен обладать следующими функциональными знаниями: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нормы права, нормативного правового акта, правоотношений и их признаки;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понятие проекта нормативного </w:t>
      </w:r>
      <w:r>
        <w:rPr>
          <w:rFonts w:ascii="Times New Roman" w:hAnsi="Times New Roman"/>
          <w:sz w:val="26"/>
          <w:szCs w:val="26"/>
        </w:rPr>
        <w:t>правового акта, инструменты и этапы его разработки;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классификация моделей государственной политики;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структура, особенности формирования государственных программ (подпрограмм);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структура, особенности бюджетных правоотношений, порядок и мет</w:t>
      </w:r>
      <w:r>
        <w:rPr>
          <w:rFonts w:ascii="Times New Roman" w:hAnsi="Times New Roman"/>
          <w:sz w:val="26"/>
          <w:szCs w:val="26"/>
        </w:rPr>
        <w:t>оды взаимодействия субъектов бюджетных правоотношений;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процедура рассмотрения обращений граждан.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2.2.6. Гражданский служащий, замещающий должность консультанта, до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жен обладать следующими функциональными умениями: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разработка, рассмотрение и соглас</w:t>
      </w:r>
      <w:r>
        <w:rPr>
          <w:rFonts w:ascii="Times New Roman" w:hAnsi="Times New Roman"/>
          <w:sz w:val="26"/>
          <w:szCs w:val="26"/>
        </w:rPr>
        <w:t>ование проектов нормативных правовых актов, соглашений и других документов;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подготовка методических рекомендаций; 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аналитических, информационных и других материалов;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писем и ответов на входящие обращения;</w:t>
      </w:r>
    </w:p>
    <w:p w:rsidR="004516E5" w:rsidRDefault="00A13251">
      <w:pPr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и проведение мони</w:t>
      </w:r>
      <w:r>
        <w:rPr>
          <w:rFonts w:ascii="Times New Roman" w:hAnsi="Times New Roman"/>
          <w:sz w:val="26"/>
          <w:szCs w:val="26"/>
        </w:rPr>
        <w:t>торинга применения законодательства.</w:t>
      </w:r>
    </w:p>
    <w:p w:rsidR="004516E5" w:rsidRDefault="004516E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Должностные обязанности</w:t>
      </w:r>
    </w:p>
    <w:p w:rsidR="004516E5" w:rsidRDefault="004516E5">
      <w:pPr>
        <w:rPr>
          <w:rFonts w:ascii="Times New Roman" w:hAnsi="Times New Roman"/>
          <w:sz w:val="26"/>
          <w:szCs w:val="26"/>
        </w:rPr>
      </w:pPr>
    </w:p>
    <w:p w:rsidR="004516E5" w:rsidRDefault="00A1325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Консультант должен:</w:t>
      </w:r>
    </w:p>
    <w:p w:rsidR="004516E5" w:rsidRDefault="00A13251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исполнять основные обязанности государственного гражданского служащ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го, установленные федеральными законами «О государственной гражданской </w:t>
      </w:r>
      <w:r>
        <w:rPr>
          <w:rFonts w:ascii="Times New Roman" w:hAnsi="Times New Roman"/>
          <w:sz w:val="26"/>
          <w:szCs w:val="26"/>
        </w:rPr>
        <w:lastRenderedPageBreak/>
        <w:t xml:space="preserve">службе Российской </w:t>
      </w:r>
      <w:r>
        <w:rPr>
          <w:rFonts w:ascii="Times New Roman" w:hAnsi="Times New Roman"/>
          <w:sz w:val="26"/>
          <w:szCs w:val="26"/>
        </w:rPr>
        <w:t>Федерации», «О противодействии коррупции», иными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ральными законами, и должностные обязанности, установленные настоящим должностным регламентом;</w:t>
      </w:r>
      <w:proofErr w:type="gramEnd"/>
    </w:p>
    <w:p w:rsidR="004516E5" w:rsidRDefault="00A1325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>
        <w:rPr>
          <w:rFonts w:ascii="Times New Roman" w:hAnsi="Times New Roman"/>
          <w:sz w:val="26"/>
          <w:szCs w:val="26"/>
        </w:rPr>
        <w:t>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516E5" w:rsidRDefault="00A1325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</w:t>
      </w:r>
      <w:r>
        <w:rPr>
          <w:rFonts w:ascii="Times New Roman" w:hAnsi="Times New Roman"/>
          <w:sz w:val="26"/>
          <w:szCs w:val="26"/>
        </w:rPr>
        <w:t>ражданской службе Российской Федерации», «О противодействии коррупции» и иными нормативными правовыми актами;</w:t>
      </w:r>
    </w:p>
    <w:p w:rsidR="004516E5" w:rsidRDefault="00A1325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требования к служебному поведению государственного гражда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ского служащего, установленные федеральными законами «О государственной гражда</w:t>
      </w:r>
      <w:r>
        <w:rPr>
          <w:rFonts w:ascii="Times New Roman" w:hAnsi="Times New Roman"/>
          <w:sz w:val="26"/>
          <w:szCs w:val="26"/>
        </w:rPr>
        <w:t>нской службе Российской Федерации», «О противодействии коррупции» и иными нормативными правовыми актами;</w:t>
      </w:r>
    </w:p>
    <w:p w:rsidR="004516E5" w:rsidRDefault="00A1325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Кодекс этики и служебного поведения государственных гражда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ских служащих Чувашской Республики в министерстве.</w:t>
      </w:r>
    </w:p>
    <w:p w:rsidR="004516E5" w:rsidRDefault="00A1325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Кроме того, исходя из зада</w:t>
      </w:r>
      <w:r>
        <w:rPr>
          <w:rFonts w:ascii="Times New Roman" w:hAnsi="Times New Roman"/>
          <w:sz w:val="26"/>
          <w:szCs w:val="26"/>
        </w:rPr>
        <w:t>ч и функций министерства консультант: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3.2.1. осуществляет реализацию текущих задач в области коммунально-инженерной инфраструктуры, направленной на решение вопросов в области тепл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снабжения  в городских округах и населенных пунктах;</w:t>
      </w:r>
      <w:proofErr w:type="gramEnd"/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3.2.2. </w:t>
      </w:r>
      <w:bookmarkStart w:id="0" w:name="_GoBack"/>
      <w:r>
        <w:rPr>
          <w:rFonts w:ascii="Times New Roman" w:hAnsi="Times New Roman"/>
          <w:sz w:val="26"/>
          <w:szCs w:val="26"/>
        </w:rPr>
        <w:t xml:space="preserve">осуществляет </w:t>
      </w:r>
      <w:r>
        <w:rPr>
          <w:rFonts w:ascii="Times New Roman" w:hAnsi="Times New Roman"/>
          <w:sz w:val="26"/>
          <w:szCs w:val="26"/>
        </w:rPr>
        <w:t>мониторинг за ходом подготовки объектов инженерно-коммунальной инфраструктуры жилищно-коммунального хозяйства к работе в осенне-зимний период, своевременным пуском тепла на объекты социальной сф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ры и многоквартирные дома, прохождением отопительного сезона;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 осуществляет мониторинг наличия и расходования топлива на котел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ных жилищно-коммунального хозяйства;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 осуществляет анализ аварийности и проводимой работы по обеспеч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нию надежности и безопасности оборудования и сетей инженерно-коммунальной инф</w:t>
      </w:r>
      <w:r>
        <w:rPr>
          <w:rFonts w:ascii="Times New Roman" w:hAnsi="Times New Roman"/>
          <w:sz w:val="26"/>
          <w:szCs w:val="26"/>
        </w:rPr>
        <w:t>раструктуры;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 разрабатывает проекты нормативных правовых актов, касающихся 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просов коммунального хозяйства, деятельности предприятий инженерно-коммунальной инфраструктуры, а так же других вопросов, </w:t>
      </w:r>
      <w:r>
        <w:rPr>
          <w:szCs w:val="26"/>
        </w:rPr>
        <w:t>курируемых отделом</w:t>
      </w:r>
      <w:r>
        <w:rPr>
          <w:rFonts w:ascii="Times New Roman" w:hAnsi="Times New Roman"/>
          <w:sz w:val="26"/>
          <w:szCs w:val="26"/>
        </w:rPr>
        <w:t>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3.2.6. осуществляет работу по у</w:t>
      </w:r>
      <w:r>
        <w:rPr>
          <w:rFonts w:ascii="Times New Roman" w:hAnsi="Times New Roman"/>
          <w:sz w:val="26"/>
          <w:szCs w:val="26"/>
        </w:rPr>
        <w:t>тверждению нормативов технологических потерь при передаче тепловой энергии, теплоносителя по тепловым сетям;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3.2.7. осуществляет работу по утверждению нормативов удельного расхода топлива при производстве тепловой энергии, за исключением источников теплово</w:t>
      </w:r>
      <w:r>
        <w:rPr>
          <w:rFonts w:ascii="Times New Roman" w:hAnsi="Times New Roman"/>
          <w:sz w:val="26"/>
          <w:szCs w:val="26"/>
        </w:rPr>
        <w:t>й энергии, функционирующих в режиме комбинированной выработки электрической и тепловой энергии 25 мегаватт и более;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3.2.8. осуществляет работу по утверждению нормативов запасов топлива на источниках тепловой энергии, за исключением источников тепловой энер</w:t>
      </w:r>
      <w:r>
        <w:rPr>
          <w:rFonts w:ascii="Times New Roman" w:hAnsi="Times New Roman"/>
          <w:sz w:val="26"/>
          <w:szCs w:val="26"/>
        </w:rPr>
        <w:t>гии, функционирующих в режиме комбинированной выработки электрической и тепл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вой энергии;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3.2.9. осуществляет мониторинг разработки и утверждения схем теплосна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жения поселений, городских округов с численностью населения менее чем пятьсот тысяч человек и их</w:t>
      </w:r>
      <w:r>
        <w:rPr>
          <w:rFonts w:ascii="Times New Roman" w:hAnsi="Times New Roman"/>
          <w:sz w:val="26"/>
          <w:szCs w:val="26"/>
        </w:rPr>
        <w:t xml:space="preserve"> актуализацию;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3.2.10. осуществляет работу по утверждению плановых и фактических пок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зателей надежности и энергетической эффективности организациям, осуществл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ющим регулируемые виды деятельности в сфере теплоснабжения;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3.2.11. осуществляет мониторинг показ</w:t>
      </w:r>
      <w:r>
        <w:rPr>
          <w:rFonts w:ascii="Times New Roman" w:hAnsi="Times New Roman"/>
          <w:sz w:val="26"/>
          <w:szCs w:val="26"/>
        </w:rPr>
        <w:t xml:space="preserve">ателей технико-экономического </w:t>
      </w:r>
      <w:proofErr w:type="gramStart"/>
      <w:r>
        <w:rPr>
          <w:rFonts w:ascii="Times New Roman" w:hAnsi="Times New Roman"/>
          <w:sz w:val="26"/>
          <w:szCs w:val="26"/>
        </w:rPr>
        <w:t>со-стояния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систем теплоснабжения (за исключением </w:t>
      </w:r>
      <w:proofErr w:type="spellStart"/>
      <w:r>
        <w:rPr>
          <w:rFonts w:ascii="Times New Roman" w:hAnsi="Times New Roman"/>
          <w:sz w:val="26"/>
          <w:szCs w:val="26"/>
        </w:rPr>
        <w:t>теплопотребляющих</w:t>
      </w:r>
      <w:proofErr w:type="spellEnd"/>
      <w:r>
        <w:rPr>
          <w:rFonts w:ascii="Times New Roman" w:hAnsi="Times New Roman"/>
          <w:sz w:val="26"/>
          <w:szCs w:val="26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</w:t>
      </w:r>
      <w:r>
        <w:rPr>
          <w:rFonts w:ascii="Times New Roman" w:hAnsi="Times New Roman"/>
          <w:sz w:val="26"/>
          <w:szCs w:val="26"/>
        </w:rPr>
        <w:t xml:space="preserve"> тепловой энергии), в том числе показателей физического износа и энергетич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ской эффективности объектов теплоснабжения, централизованных систем горячего водоснабжения;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3.2.12. разрабатывает предложения по обеспечению надежности систем </w:t>
      </w:r>
      <w:proofErr w:type="gramStart"/>
      <w:r>
        <w:rPr>
          <w:rFonts w:ascii="Times New Roman" w:hAnsi="Times New Roman"/>
          <w:sz w:val="26"/>
          <w:szCs w:val="26"/>
        </w:rPr>
        <w:t>теп-</w:t>
      </w:r>
      <w:proofErr w:type="spellStart"/>
      <w:r>
        <w:rPr>
          <w:rFonts w:ascii="Times New Roman" w:hAnsi="Times New Roman"/>
          <w:sz w:val="26"/>
          <w:szCs w:val="26"/>
        </w:rPr>
        <w:t>лоснабжения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поселе</w:t>
      </w:r>
      <w:r>
        <w:rPr>
          <w:rFonts w:ascii="Times New Roman" w:hAnsi="Times New Roman"/>
          <w:sz w:val="26"/>
          <w:szCs w:val="26"/>
        </w:rPr>
        <w:t xml:space="preserve">ний, городских округов; 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3.2.13. осуществляет сбор, обобщение и представление в Минстрой России статистической формы 1-ЖКХ (зима) срочная «Сведения о подготовке жилищно-коммунального хозяйства к работе в зимних условиях», 2-ЖКХ (зима) «Сведения о работе жи</w:t>
      </w:r>
      <w:r>
        <w:rPr>
          <w:rFonts w:ascii="Times New Roman" w:hAnsi="Times New Roman"/>
          <w:sz w:val="26"/>
          <w:szCs w:val="26"/>
        </w:rPr>
        <w:t>лищно-коммунального хозяйства и объектов энергетики в зимних усл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виях» и 3-ЖКХ (зима) «Сведения о наличии и расходе топлива организациями ж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лищно-коммунального хозяйства и объектами энергетики в зимних условиях»;</w:t>
      </w:r>
      <w:proofErr w:type="gramEnd"/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3.2.14. осуществляет внутренний финансовый </w:t>
      </w:r>
      <w:r>
        <w:rPr>
          <w:rFonts w:ascii="Times New Roman" w:hAnsi="Times New Roman"/>
          <w:sz w:val="26"/>
          <w:szCs w:val="26"/>
        </w:rPr>
        <w:t>контроль в отношении вну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ренних бюджетных процедур в части: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составления и представления в Минфин Чувашии документов, необходимых для составления и рассмотрения проекта республиканского бюджета Чувашской Республики на очередной финансовый год и плановый пер</w:t>
      </w:r>
      <w:r>
        <w:rPr>
          <w:rFonts w:ascii="Times New Roman" w:hAnsi="Times New Roman"/>
          <w:sz w:val="26"/>
          <w:szCs w:val="26"/>
        </w:rPr>
        <w:t>иод, в том числе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естров расходных обязательств и обоснований бюджетных ассигнований;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составления и представления в Минфин Чувашии документов, необходимых для составления и ведения кассового плана по доходам республиканского бюджета Чувашской Республики, </w:t>
      </w:r>
      <w:r>
        <w:rPr>
          <w:rFonts w:ascii="Times New Roman" w:hAnsi="Times New Roman"/>
          <w:sz w:val="26"/>
          <w:szCs w:val="26"/>
        </w:rPr>
        <w:t>расходам республиканского бюджета Чувашской Респу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лики и источникам финансирования дефицита республиканского бюджета Чува</w:t>
      </w:r>
      <w:r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>ской Республики;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исполнения бюджетной сметы;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принятия и исполнения бюджетных обязательств;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3.2.15. рассматривает обращения организаций</w:t>
      </w:r>
      <w:r>
        <w:rPr>
          <w:rFonts w:ascii="Times New Roman" w:hAnsi="Times New Roman"/>
          <w:sz w:val="26"/>
          <w:szCs w:val="26"/>
        </w:rPr>
        <w:t xml:space="preserve"> и граждан по вопросам тепл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снабжения населения;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3.2.16. готовит материалы по вопросам, отнесенным к компетенции отдела, для размещения на сайте министерства;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3.2.17. соблюдает нормы, установленные законом о государственной службе и противодействию коррупц</w:t>
      </w:r>
      <w:r>
        <w:rPr>
          <w:rFonts w:ascii="Times New Roman" w:hAnsi="Times New Roman"/>
          <w:sz w:val="26"/>
          <w:szCs w:val="26"/>
        </w:rPr>
        <w:t>ии;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3.2.18. подготавливает в установленные сроки в органы исполнительной вл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сти информацию о реализации государственных программ (подпрограмм),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приятий государственных программ (подпрограмм);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3.2.19. контролирует с участием органов исполнительной власт</w:t>
      </w:r>
      <w:r>
        <w:rPr>
          <w:rFonts w:ascii="Times New Roman" w:hAnsi="Times New Roman"/>
          <w:sz w:val="26"/>
          <w:szCs w:val="26"/>
        </w:rPr>
        <w:t>и Чувашской Республики на основании анализа представленных документов правильность ра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ходования бюджетных средств по курируемым направлениям;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3.2.20. готовит отчеты и информацию о ходе строительства курируемых 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>ектов;</w:t>
      </w:r>
    </w:p>
    <w:bookmarkEnd w:id="0"/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3.2.21. осуществляет иные функции в </w:t>
      </w:r>
      <w:r>
        <w:rPr>
          <w:rFonts w:ascii="Times New Roman" w:hAnsi="Times New Roman"/>
          <w:sz w:val="26"/>
          <w:szCs w:val="26"/>
        </w:rPr>
        <w:t>соответствии с положением об отделе.</w:t>
      </w:r>
    </w:p>
    <w:p w:rsidR="004516E5" w:rsidRPr="007C6E86" w:rsidRDefault="004516E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Права 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4.1. Основные права консультанта установлены статьей 14 Федерального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кона «О государственной гражданской службе Российской Федерации».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Кроме того, консультант имеет право: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запрашивать и получать от </w:t>
      </w:r>
      <w:r>
        <w:rPr>
          <w:rFonts w:ascii="Times New Roman" w:hAnsi="Times New Roman"/>
          <w:sz w:val="26"/>
          <w:szCs w:val="26"/>
        </w:rPr>
        <w:t>государственных органов, предприятий, учр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ждений, организаций, независимо от форм собственности, общественных объед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нений статистические и справочные материалы, информацию по вопросам, отн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сящимся к компетенции отдела, необходимые для исполнения своих долж</w:t>
      </w:r>
      <w:r>
        <w:rPr>
          <w:rFonts w:ascii="Times New Roman" w:hAnsi="Times New Roman"/>
          <w:sz w:val="26"/>
          <w:szCs w:val="26"/>
        </w:rPr>
        <w:t>ностных обязанностей;</w:t>
      </w:r>
      <w:proofErr w:type="gramEnd"/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и вносить на рассмотрение Главы Чувашской Республики и Кабинета Министров Чувашской Республики проекты нормативных правовых а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тов по вопросам, отнесенным к компетенции отдела;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участие в качестве эксперта в пров</w:t>
      </w:r>
      <w:r>
        <w:rPr>
          <w:rFonts w:ascii="Times New Roman" w:hAnsi="Times New Roman"/>
          <w:sz w:val="26"/>
          <w:szCs w:val="26"/>
        </w:rPr>
        <w:t>одимых проверках органов местного самоуправления и организаций жилищно-коммунального хозяйства по вопросам, отнесенным к компетенции отдела;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для подготовки информации бухгалтерские отчеты и балансы, предоставляемые подведомственными государств</w:t>
      </w:r>
      <w:r>
        <w:rPr>
          <w:rFonts w:ascii="Times New Roman" w:hAnsi="Times New Roman"/>
          <w:sz w:val="26"/>
          <w:szCs w:val="26"/>
        </w:rPr>
        <w:t>енными унитарными предпри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тиями, органами местного самоуправления, организациями жилищно-коммунального хозяйства;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совещаниях, семинарах и других мероприятиях по вопросам, отнесенным к его компетенции;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получать от сотрудников министерства инфо</w:t>
      </w:r>
      <w:r>
        <w:rPr>
          <w:rFonts w:ascii="Times New Roman" w:hAnsi="Times New Roman"/>
          <w:sz w:val="26"/>
          <w:szCs w:val="26"/>
        </w:rPr>
        <w:t>рмацию и материалы  для 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полнения должностных обязанностей;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доступа в установленном порядке в связи с исполнением должностных об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занностей в государственные органы, органы местного самоуправления, общ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ственные объединения и иные организации;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докладывать н</w:t>
      </w:r>
      <w:r>
        <w:rPr>
          <w:rFonts w:ascii="Times New Roman" w:hAnsi="Times New Roman"/>
          <w:sz w:val="26"/>
          <w:szCs w:val="26"/>
        </w:rPr>
        <w:t>ачальнику отдела обо всех выявленных недостатках в работе в пределах своей компетенции.</w:t>
      </w:r>
    </w:p>
    <w:p w:rsidR="004516E5" w:rsidRDefault="004516E5">
      <w:pPr>
        <w:pStyle w:val="a3"/>
        <w:tabs>
          <w:tab w:val="left" w:pos="0"/>
        </w:tabs>
        <w:spacing w:after="60"/>
        <w:ind w:firstLine="539"/>
        <w:rPr>
          <w:rFonts w:ascii="Times New Roman" w:hAnsi="Times New Roman"/>
          <w:sz w:val="26"/>
          <w:szCs w:val="26"/>
        </w:rPr>
      </w:pP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V. Ответственность гражданского служащего за  неисполнение </w:t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(ненадлежащее исполнение) должностных обязанностей</w:t>
      </w:r>
    </w:p>
    <w:p w:rsidR="004516E5" w:rsidRDefault="004516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Консультант несет предусмотренную законодательство</w:t>
      </w:r>
      <w:r>
        <w:rPr>
          <w:rFonts w:ascii="Times New Roman" w:hAnsi="Times New Roman"/>
          <w:sz w:val="26"/>
          <w:szCs w:val="26"/>
        </w:rPr>
        <w:t>м ответстве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ность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неисполнение либо за ненадлежащее исполнение должностных обязанн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стей;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ством Российской Феде</w:t>
      </w:r>
      <w:r>
        <w:rPr>
          <w:rFonts w:ascii="Times New Roman" w:hAnsi="Times New Roman"/>
          <w:sz w:val="26"/>
          <w:szCs w:val="26"/>
        </w:rPr>
        <w:t>рации;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</w:t>
      </w:r>
      <w:r>
        <w:rPr>
          <w:rFonts w:ascii="Times New Roman" w:hAnsi="Times New Roman"/>
          <w:sz w:val="26"/>
          <w:szCs w:val="26"/>
        </w:rPr>
        <w:t>го вине возложенных на него должностных обязанностей, применяются следующие дисциплинарные взы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кания: замечание, выговор, предупреждение о неполном должностном соотве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ствии, увольнение с гражданской службы по предусмотренным законодательством Российской Фе</w:t>
      </w:r>
      <w:r>
        <w:rPr>
          <w:rFonts w:ascii="Times New Roman" w:hAnsi="Times New Roman"/>
          <w:sz w:val="26"/>
          <w:szCs w:val="26"/>
        </w:rPr>
        <w:t>дерации основаниям.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/>
          <w:sz w:val="26"/>
          <w:szCs w:val="26"/>
        </w:rPr>
        <w:t>За несоблюдение гражданским служащим ограничений и запретов, тр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бований о предотвращении или об урегулировании конфликта интересов и неи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lastRenderedPageBreak/>
        <w:t>полнение обязанностей, установленных в целях противодействия коррупции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ральным законом, Фе</w:t>
      </w:r>
      <w:r>
        <w:rPr>
          <w:rFonts w:ascii="Times New Roman" w:hAnsi="Times New Roman"/>
          <w:sz w:val="26"/>
          <w:szCs w:val="26"/>
        </w:rPr>
        <w:t>деральным законом «О противодействии коррупции» и др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гими федеральными законами, налагаются следующие взыскания: замечание,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говор, предупреждение о неполном должностном соответствии, увольнение с гражданской службы в связи с утратой представителем нанима</w:t>
      </w:r>
      <w:r>
        <w:rPr>
          <w:rFonts w:ascii="Times New Roman" w:hAnsi="Times New Roman"/>
          <w:sz w:val="26"/>
          <w:szCs w:val="26"/>
        </w:rPr>
        <w:t>теля доверия к гражданскому служащему.</w:t>
      </w:r>
      <w:proofErr w:type="gramEnd"/>
    </w:p>
    <w:p w:rsidR="004516E5" w:rsidRDefault="004516E5">
      <w:pPr>
        <w:pStyle w:val="a3"/>
        <w:tabs>
          <w:tab w:val="left" w:pos="540"/>
        </w:tabs>
        <w:rPr>
          <w:rFonts w:ascii="Times New Roman" w:hAnsi="Times New Roman"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>. Перечень вопросов, по которым гражданский служащий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вправе или обязан самостоятельно принимать 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управленческие и иные решения</w:t>
      </w:r>
    </w:p>
    <w:p w:rsidR="004516E5" w:rsidRDefault="004516E5">
      <w:pPr>
        <w:pStyle w:val="Con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6.1</w:t>
      </w:r>
      <w:r>
        <w:rPr>
          <w:rFonts w:ascii="Times New Roman" w:hAnsi="Times New Roman"/>
          <w:sz w:val="26"/>
          <w:szCs w:val="26"/>
        </w:rPr>
        <w:t>. Вопросы, по которым консультант вправе самостоятельно принимать управленческие и</w:t>
      </w:r>
      <w:r>
        <w:rPr>
          <w:rFonts w:ascii="Times New Roman" w:hAnsi="Times New Roman"/>
          <w:sz w:val="26"/>
          <w:szCs w:val="26"/>
        </w:rPr>
        <w:t xml:space="preserve"> иные решения: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получения соответствующего поручения от заместителя министра или начальника отдела по вопросам, входящим в компетенцию отдела;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способах и методах подготовки проектов нормативных правовых актов;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полноте, правильности и соответств</w:t>
      </w:r>
      <w:r>
        <w:rPr>
          <w:rFonts w:ascii="Times New Roman" w:hAnsi="Times New Roman"/>
          <w:sz w:val="26"/>
          <w:szCs w:val="26"/>
        </w:rPr>
        <w:t>ии утвержденным формам операти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ной, квартальной, годовой бухгалтерской, статистической и иной отчетности, представляемой органами местного самоуправления, организациями в сфере обр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щения с твердыми коммунальными отходами.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Вопросы, по которым консульта</w:t>
      </w:r>
      <w:r>
        <w:rPr>
          <w:rFonts w:ascii="Times New Roman" w:hAnsi="Times New Roman"/>
          <w:sz w:val="26"/>
          <w:szCs w:val="26"/>
        </w:rPr>
        <w:t>нт обязан самостоятельно принимать управленческие и иные решения: в случае получения соответствующего поручения от заместителя министра или начальника отдела по вопросам, входящим в дол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ностные обязанности.</w:t>
      </w:r>
    </w:p>
    <w:p w:rsidR="004516E5" w:rsidRDefault="004516E5">
      <w:pPr>
        <w:pStyle w:val="ConsNormal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гражданский </w:t>
      </w:r>
      <w:r>
        <w:rPr>
          <w:rFonts w:ascii="Times New Roman" w:hAnsi="Times New Roman" w:cs="Times New Roman"/>
          <w:b/>
          <w:bCs/>
          <w:sz w:val="26"/>
          <w:szCs w:val="26"/>
        </w:rPr>
        <w:t>служащий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 при подготовке проектов нормативных 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правовых актов и (или) проектов управленческих 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иных решений</w:t>
      </w:r>
    </w:p>
    <w:p w:rsidR="004516E5" w:rsidRDefault="004516E5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Консультант вправе участвовать при подготовке нормативных правовых актов Чувашской Республики по вопросам, вход</w:t>
      </w:r>
      <w:r>
        <w:rPr>
          <w:rFonts w:ascii="Times New Roman" w:hAnsi="Times New Roman"/>
          <w:sz w:val="26"/>
          <w:szCs w:val="26"/>
        </w:rPr>
        <w:t>ящим в компетенцию отдела.</w:t>
      </w:r>
    </w:p>
    <w:p w:rsidR="004516E5" w:rsidRDefault="00A13251">
      <w:pPr>
        <w:pStyle w:val="a3"/>
        <w:tabs>
          <w:tab w:val="left" w:pos="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Консультант обязан участвовать при подготовке проектов нормативных правовых актов Чувашской Республики, возложенных на него в соответствии с настоящим регламентом.</w:t>
      </w:r>
    </w:p>
    <w:p w:rsidR="004516E5" w:rsidRDefault="004516E5">
      <w:pPr>
        <w:pStyle w:val="a3"/>
        <w:tabs>
          <w:tab w:val="left" w:pos="0"/>
        </w:tabs>
        <w:ind w:firstLine="720"/>
        <w:jc w:val="left"/>
        <w:rPr>
          <w:rFonts w:ascii="Times New Roman" w:hAnsi="Times New Roman"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Сроки и процедуры подготовки, рассмотрения 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проектов </w:t>
      </w:r>
      <w:r>
        <w:rPr>
          <w:rFonts w:ascii="Times New Roman" w:hAnsi="Times New Roman" w:cs="Times New Roman"/>
          <w:b/>
          <w:bCs/>
          <w:sz w:val="26"/>
          <w:szCs w:val="26"/>
        </w:rPr>
        <w:t>управленческих и иных решений, порядок согласования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принятия данных решений</w:t>
      </w:r>
    </w:p>
    <w:p w:rsidR="004516E5" w:rsidRDefault="004516E5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Консультант осуществляет подготовку и рассмотрение проектов управленч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ских решений, согласование и принятие данных решений в соответствии с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струкцией по делопроизводству минис</w:t>
      </w:r>
      <w:r>
        <w:rPr>
          <w:rFonts w:ascii="Times New Roman" w:hAnsi="Times New Roman"/>
          <w:sz w:val="26"/>
          <w:szCs w:val="26"/>
        </w:rPr>
        <w:t>терства, утвержденной приказом Министе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ства строительства, архитектуры и жилищно-коммунального хозяйства Чувашской Республики от 17 апреля 2013 года № 03/1-03/119.</w:t>
      </w:r>
    </w:p>
    <w:p w:rsidR="004516E5" w:rsidRDefault="004516E5">
      <w:pPr>
        <w:pStyle w:val="a3"/>
        <w:tabs>
          <w:tab w:val="left" w:pos="540"/>
        </w:tabs>
        <w:ind w:firstLine="539"/>
        <w:rPr>
          <w:rFonts w:ascii="Times New Roman" w:hAnsi="Times New Roman"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Порядок служебного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взаимодействия  гражданского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служащего</w:t>
      </w:r>
    </w:p>
    <w:p w:rsidR="004516E5" w:rsidRDefault="00A1325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гражданскими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516E5" w:rsidRDefault="00A1325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служащими того же государственного органа, гражданскими служащими </w:t>
      </w:r>
    </w:p>
    <w:p w:rsidR="004516E5" w:rsidRDefault="00A1325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иных государственных органов, другими гражданами, </w:t>
      </w:r>
    </w:p>
    <w:p w:rsidR="004516E5" w:rsidRDefault="00A13251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 также с организациями</w:t>
      </w:r>
    </w:p>
    <w:p w:rsidR="004516E5" w:rsidRDefault="004516E5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Консультант осуществляет служебное взаимод</w:t>
      </w:r>
      <w:r>
        <w:rPr>
          <w:rFonts w:ascii="Times New Roman" w:hAnsi="Times New Roman"/>
          <w:sz w:val="26"/>
          <w:szCs w:val="26"/>
        </w:rPr>
        <w:t>ействие с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димой для исполнения должностных обязанностей, участия на совещаниях и др.</w:t>
      </w:r>
    </w:p>
    <w:p w:rsidR="004516E5" w:rsidRDefault="00A13251">
      <w:pPr>
        <w:pStyle w:val="a3"/>
        <w:tabs>
          <w:tab w:val="left" w:pos="540"/>
        </w:tabs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Конс</w:t>
      </w:r>
      <w:r>
        <w:rPr>
          <w:rFonts w:ascii="Times New Roman" w:hAnsi="Times New Roman"/>
          <w:sz w:val="26"/>
          <w:szCs w:val="26"/>
        </w:rPr>
        <w:t>ультант осуществляет служебное взаимодействие с гражданскими служащими иных государственных органов в связи с исполнением своих дол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ностных обязанностей в следующем порядке: путем обмена письмами, участия на совещаниях и др.</w:t>
      </w:r>
    </w:p>
    <w:p w:rsidR="004516E5" w:rsidRDefault="00A13251">
      <w:pPr>
        <w:pStyle w:val="Con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Консультант осуществляет с</w:t>
      </w:r>
      <w:r>
        <w:rPr>
          <w:rFonts w:ascii="Times New Roman" w:hAnsi="Times New Roman" w:cs="Times New Roman"/>
          <w:sz w:val="26"/>
          <w:szCs w:val="26"/>
        </w:rPr>
        <w:t>лужебное взаимодействие с гражданами и организациями в связи с исполнением своих должностных обязанностей в следу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щем порядке: путем обмена письмами, обмена информацией при приеме граждан по личным вопросам, дачи разъяснений по вопросам, входящим в компете</w:t>
      </w:r>
      <w:r>
        <w:rPr>
          <w:rFonts w:ascii="Times New Roman" w:hAnsi="Times New Roman" w:cs="Times New Roman"/>
          <w:sz w:val="26"/>
          <w:szCs w:val="26"/>
        </w:rPr>
        <w:t>нцию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дела.</w:t>
      </w:r>
    </w:p>
    <w:p w:rsidR="004516E5" w:rsidRDefault="004516E5">
      <w:pPr>
        <w:pStyle w:val="ConsNonforma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516E5" w:rsidRDefault="00A13251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X. </w:t>
      </w:r>
      <w:r>
        <w:rPr>
          <w:rFonts w:ascii="Times New Roman" w:hAnsi="Times New Roman"/>
          <w:b/>
          <w:sz w:val="26"/>
          <w:szCs w:val="26"/>
        </w:rPr>
        <w:t>Показатели эффективности и результативности профессиональной</w:t>
      </w:r>
    </w:p>
    <w:p w:rsidR="004516E5" w:rsidRDefault="00A132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 w:rsidR="004516E5" w:rsidRDefault="004516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4516E5" w:rsidRDefault="00A1325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Эффективность и результативность профессиональной служебной деятел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ности консультанта оценивается по показателям, утвержденным </w:t>
      </w:r>
      <w:r>
        <w:rPr>
          <w:rFonts w:ascii="Times New Roman" w:hAnsi="Times New Roman"/>
          <w:sz w:val="26"/>
          <w:szCs w:val="26"/>
        </w:rPr>
        <w:t>приказом мин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</w:t>
      </w:r>
      <w:r>
        <w:rPr>
          <w:rFonts w:ascii="Times New Roman" w:hAnsi="Times New Roman"/>
          <w:sz w:val="26"/>
          <w:szCs w:val="26"/>
        </w:rPr>
        <w:t>у за особые условия государственной гражданской службы Чувашской Республики».</w:t>
      </w:r>
    </w:p>
    <w:p w:rsidR="004516E5" w:rsidRDefault="004516E5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4516E5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4" w:right="851" w:bottom="1134" w:left="1701" w:header="90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251">
      <w:r>
        <w:separator/>
      </w:r>
    </w:p>
  </w:endnote>
  <w:endnote w:type="continuationSeparator" w:id="0">
    <w:p w:rsidR="00000000" w:rsidRDefault="00A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E5" w:rsidRDefault="00451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251">
      <w:r>
        <w:separator/>
      </w:r>
    </w:p>
  </w:footnote>
  <w:footnote w:type="continuationSeparator" w:id="0">
    <w:p w:rsidR="00000000" w:rsidRDefault="00A1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E5" w:rsidRDefault="004516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E5" w:rsidRDefault="004516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E71"/>
    <w:multiLevelType w:val="multilevel"/>
    <w:tmpl w:val="3028C146"/>
    <w:name w:val="Нумерованный список 5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03FA3ECC"/>
    <w:multiLevelType w:val="multilevel"/>
    <w:tmpl w:val="0AE41072"/>
    <w:name w:val="Нумерованный список 1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">
    <w:nsid w:val="143906CB"/>
    <w:multiLevelType w:val="multilevel"/>
    <w:tmpl w:val="4B5EC024"/>
    <w:name w:val="Нумерованный список 4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24"/>
      <w:numFmt w:val="decimal"/>
      <w:lvlText w:val="%1.%2."/>
      <w:lvlJc w:val="left"/>
      <w:pPr>
        <w:ind w:left="708" w:firstLine="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rFonts w:cs="Times New Roman"/>
        <w:sz w:val="24"/>
      </w:rPr>
    </w:lvl>
  </w:abstractNum>
  <w:abstractNum w:abstractNumId="3">
    <w:nsid w:val="14E83B09"/>
    <w:multiLevelType w:val="multilevel"/>
    <w:tmpl w:val="A4303D4C"/>
    <w:name w:val="Нумерованный список 6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0"/>
      <w:numFmt w:val="decimal"/>
      <w:lvlText w:val="%1.%2."/>
      <w:lvlJc w:val="left"/>
      <w:pPr>
        <w:ind w:left="485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7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55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4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25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1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95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80" w:firstLine="0"/>
      </w:pPr>
      <w:rPr>
        <w:rFonts w:cs="Times New Roman"/>
      </w:rPr>
    </w:lvl>
  </w:abstractNum>
  <w:abstractNum w:abstractNumId="4">
    <w:nsid w:val="37C0718C"/>
    <w:multiLevelType w:val="hybridMultilevel"/>
    <w:tmpl w:val="AB14CEA6"/>
    <w:name w:val="Нумерованный список 8"/>
    <w:lvl w:ilvl="0" w:tplc="4B4E5B16">
      <w:numFmt w:val="none"/>
      <w:lvlText w:val=""/>
      <w:lvlJc w:val="left"/>
      <w:pPr>
        <w:ind w:left="0" w:firstLine="0"/>
      </w:pPr>
    </w:lvl>
    <w:lvl w:ilvl="1" w:tplc="D384EE9A">
      <w:numFmt w:val="none"/>
      <w:lvlText w:val=""/>
      <w:lvlJc w:val="left"/>
      <w:pPr>
        <w:ind w:left="0" w:firstLine="0"/>
      </w:pPr>
    </w:lvl>
    <w:lvl w:ilvl="2" w:tplc="2D1272C4">
      <w:numFmt w:val="none"/>
      <w:lvlText w:val=""/>
      <w:lvlJc w:val="left"/>
      <w:pPr>
        <w:ind w:left="0" w:firstLine="0"/>
      </w:pPr>
    </w:lvl>
    <w:lvl w:ilvl="3" w:tplc="41E68880">
      <w:numFmt w:val="none"/>
      <w:lvlText w:val=""/>
      <w:lvlJc w:val="left"/>
      <w:pPr>
        <w:ind w:left="0" w:firstLine="0"/>
      </w:pPr>
    </w:lvl>
    <w:lvl w:ilvl="4" w:tplc="299E1866">
      <w:numFmt w:val="none"/>
      <w:lvlText w:val=""/>
      <w:lvlJc w:val="left"/>
      <w:pPr>
        <w:ind w:left="0" w:firstLine="0"/>
      </w:pPr>
    </w:lvl>
    <w:lvl w:ilvl="5" w:tplc="49966AD8">
      <w:numFmt w:val="none"/>
      <w:lvlText w:val=""/>
      <w:lvlJc w:val="left"/>
      <w:pPr>
        <w:ind w:left="0" w:firstLine="0"/>
      </w:pPr>
    </w:lvl>
    <w:lvl w:ilvl="6" w:tplc="49BC3A14">
      <w:numFmt w:val="none"/>
      <w:lvlText w:val=""/>
      <w:lvlJc w:val="left"/>
      <w:pPr>
        <w:ind w:left="0" w:firstLine="0"/>
      </w:pPr>
    </w:lvl>
    <w:lvl w:ilvl="7" w:tplc="87647436">
      <w:numFmt w:val="none"/>
      <w:lvlText w:val=""/>
      <w:lvlJc w:val="left"/>
      <w:pPr>
        <w:ind w:left="0" w:firstLine="0"/>
      </w:pPr>
    </w:lvl>
    <w:lvl w:ilvl="8" w:tplc="CF9AE270">
      <w:numFmt w:val="none"/>
      <w:lvlText w:val=""/>
      <w:lvlJc w:val="left"/>
      <w:pPr>
        <w:ind w:left="0" w:firstLine="0"/>
      </w:pPr>
    </w:lvl>
  </w:abstractNum>
  <w:abstractNum w:abstractNumId="5">
    <w:nsid w:val="39523B60"/>
    <w:multiLevelType w:val="hybridMultilevel"/>
    <w:tmpl w:val="3E1C2308"/>
    <w:name w:val="Нумерованный список 3"/>
    <w:lvl w:ilvl="0" w:tplc="3B1892C0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/>
      </w:rPr>
    </w:lvl>
    <w:lvl w:ilvl="1" w:tplc="56848902">
      <w:numFmt w:val="bullet"/>
      <w:lvlText w:val="o"/>
      <w:lvlJc w:val="left"/>
      <w:pPr>
        <w:ind w:left="1425" w:firstLine="0"/>
      </w:pPr>
      <w:rPr>
        <w:rFonts w:ascii="Courier New" w:hAnsi="Courier New"/>
      </w:rPr>
    </w:lvl>
    <w:lvl w:ilvl="2" w:tplc="9C9A3B3C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FB98889C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46A6AFA4">
      <w:numFmt w:val="bullet"/>
      <w:lvlText w:val="o"/>
      <w:lvlJc w:val="left"/>
      <w:pPr>
        <w:ind w:left="3585" w:firstLine="0"/>
      </w:pPr>
      <w:rPr>
        <w:rFonts w:ascii="Courier New" w:hAnsi="Courier New"/>
      </w:rPr>
    </w:lvl>
    <w:lvl w:ilvl="5" w:tplc="94EE1C92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7C705280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9254168E">
      <w:numFmt w:val="bullet"/>
      <w:lvlText w:val="o"/>
      <w:lvlJc w:val="left"/>
      <w:pPr>
        <w:ind w:left="5745" w:firstLine="0"/>
      </w:pPr>
      <w:rPr>
        <w:rFonts w:ascii="Courier New" w:hAnsi="Courier New"/>
      </w:rPr>
    </w:lvl>
    <w:lvl w:ilvl="8" w:tplc="961AC76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6">
    <w:nsid w:val="599575E1"/>
    <w:multiLevelType w:val="hybridMultilevel"/>
    <w:tmpl w:val="F7E4AE18"/>
    <w:lvl w:ilvl="0" w:tplc="6BDC7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816AC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0F28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9630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514AD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163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7B61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381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94EC3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1664889"/>
    <w:multiLevelType w:val="hybridMultilevel"/>
    <w:tmpl w:val="FA460DE0"/>
    <w:name w:val="Нумерованный список 7"/>
    <w:lvl w:ilvl="0" w:tplc="BA02915C">
      <w:numFmt w:val="none"/>
      <w:lvlText w:val=""/>
      <w:lvlJc w:val="left"/>
      <w:pPr>
        <w:ind w:left="0" w:firstLine="0"/>
      </w:pPr>
    </w:lvl>
    <w:lvl w:ilvl="1" w:tplc="FF84148C">
      <w:numFmt w:val="none"/>
      <w:lvlText w:val=""/>
      <w:lvlJc w:val="left"/>
      <w:pPr>
        <w:ind w:left="0" w:firstLine="0"/>
      </w:pPr>
    </w:lvl>
    <w:lvl w:ilvl="2" w:tplc="C2F00E78">
      <w:numFmt w:val="none"/>
      <w:lvlText w:val=""/>
      <w:lvlJc w:val="left"/>
      <w:pPr>
        <w:ind w:left="0" w:firstLine="0"/>
      </w:pPr>
    </w:lvl>
    <w:lvl w:ilvl="3" w:tplc="51DCD78C">
      <w:numFmt w:val="none"/>
      <w:lvlText w:val=""/>
      <w:lvlJc w:val="left"/>
      <w:pPr>
        <w:ind w:left="0" w:firstLine="0"/>
      </w:pPr>
    </w:lvl>
    <w:lvl w:ilvl="4" w:tplc="BD9A4AF0">
      <w:numFmt w:val="none"/>
      <w:lvlText w:val=""/>
      <w:lvlJc w:val="left"/>
      <w:pPr>
        <w:ind w:left="0" w:firstLine="0"/>
      </w:pPr>
    </w:lvl>
    <w:lvl w:ilvl="5" w:tplc="4D483466">
      <w:numFmt w:val="none"/>
      <w:lvlText w:val=""/>
      <w:lvlJc w:val="left"/>
      <w:pPr>
        <w:ind w:left="0" w:firstLine="0"/>
      </w:pPr>
    </w:lvl>
    <w:lvl w:ilvl="6" w:tplc="BA3075DA">
      <w:numFmt w:val="none"/>
      <w:lvlText w:val=""/>
      <w:lvlJc w:val="left"/>
      <w:pPr>
        <w:ind w:left="0" w:firstLine="0"/>
      </w:pPr>
    </w:lvl>
    <w:lvl w:ilvl="7" w:tplc="90989CA2">
      <w:numFmt w:val="none"/>
      <w:lvlText w:val=""/>
      <w:lvlJc w:val="left"/>
      <w:pPr>
        <w:ind w:left="0" w:firstLine="0"/>
      </w:pPr>
    </w:lvl>
    <w:lvl w:ilvl="8" w:tplc="5F1085CC">
      <w:numFmt w:val="none"/>
      <w:lvlText w:val=""/>
      <w:lvlJc w:val="left"/>
      <w:pPr>
        <w:ind w:left="0" w:firstLine="0"/>
      </w:pPr>
    </w:lvl>
  </w:abstractNum>
  <w:abstractNum w:abstractNumId="8">
    <w:nsid w:val="710768E4"/>
    <w:multiLevelType w:val="hybridMultilevel"/>
    <w:tmpl w:val="67BACF98"/>
    <w:name w:val="Нумерованный список 2"/>
    <w:lvl w:ilvl="0" w:tplc="A4140CCE">
      <w:start w:val="1"/>
      <w:numFmt w:val="upperRoman"/>
      <w:lvlText w:val="%1."/>
      <w:lvlJc w:val="left"/>
      <w:pPr>
        <w:ind w:left="360" w:firstLine="0"/>
      </w:pPr>
      <w:rPr>
        <w:rFonts w:cs="Times New Roman"/>
      </w:rPr>
    </w:lvl>
    <w:lvl w:ilvl="1" w:tplc="BF6C494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413ACE3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65E6C6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0C06EA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4F6945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9F48133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B22B9E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FA66B73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516E5"/>
    <w:rsid w:val="004516E5"/>
    <w:rsid w:val="007C6E86"/>
    <w:rsid w:val="00A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2">
    <w:name w:val="Заголовок 2 Знак"/>
    <w:basedOn w:val="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rPr>
      <w:rFonts w:ascii="Cambria" w:hAnsi="Cambria" w:cs="Times New Roman"/>
      <w:b/>
      <w:bCs/>
      <w:sz w:val="26"/>
      <w:szCs w:val="26"/>
    </w:rPr>
  </w:style>
  <w:style w:type="character" w:customStyle="1" w:styleId="aa">
    <w:name w:val="Основной текст Знак"/>
    <w:basedOn w:val="a0"/>
    <w:rPr>
      <w:rFonts w:ascii="TimesET" w:hAnsi="TimesET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rPr>
      <w:rFonts w:ascii="TimesET" w:hAnsi="TimesET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rPr>
      <w:rFonts w:ascii="TimesET" w:hAnsi="TimesET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rPr>
      <w:rFonts w:ascii="TimesET" w:hAnsi="TimesET" w:cs="Times New Roman"/>
      <w:sz w:val="16"/>
      <w:szCs w:val="16"/>
    </w:rPr>
  </w:style>
  <w:style w:type="character" w:customStyle="1" w:styleId="24">
    <w:name w:val="Основной текст 2 Знак"/>
    <w:basedOn w:val="a0"/>
    <w:rPr>
      <w:rFonts w:ascii="TimesET" w:hAnsi="TimesET" w:cs="Times New Roman"/>
      <w:sz w:val="24"/>
      <w:szCs w:val="24"/>
    </w:rPr>
  </w:style>
  <w:style w:type="character" w:customStyle="1" w:styleId="34">
    <w:name w:val="Основной текст 3 Знак"/>
    <w:basedOn w:val="a0"/>
    <w:rPr>
      <w:rFonts w:ascii="TimesET" w:hAnsi="TimesET" w:cs="Times New Roman"/>
      <w:sz w:val="16"/>
      <w:szCs w:val="16"/>
    </w:rPr>
  </w:style>
  <w:style w:type="character" w:customStyle="1" w:styleId="ac">
    <w:name w:val="Верхний колонтитул Знак"/>
    <w:basedOn w:val="a0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rPr>
      <w:rFonts w:cs="Times New Roman"/>
    </w:rPr>
  </w:style>
  <w:style w:type="character" w:customStyle="1" w:styleId="ae">
    <w:name w:val="Текст выноски Знак"/>
    <w:basedOn w:val="a0"/>
    <w:rPr>
      <w:rFonts w:cs="Times New Roman"/>
      <w:sz w:val="2"/>
    </w:rPr>
  </w:style>
  <w:style w:type="character" w:customStyle="1" w:styleId="af">
    <w:name w:val="Нижний колонтитул Знак"/>
    <w:basedOn w:val="a0"/>
    <w:rPr>
      <w:rFonts w:ascii="TimesET" w:hAnsi="TimesET" w:cs="Times New Roman"/>
      <w:sz w:val="24"/>
      <w:szCs w:val="24"/>
    </w:rPr>
  </w:style>
  <w:style w:type="character" w:customStyle="1" w:styleId="af0">
    <w:name w:val="Текст сноски Знак"/>
    <w:basedOn w:val="a0"/>
    <w:rPr>
      <w:rFonts w:cs="Times New Roman"/>
    </w:rPr>
  </w:style>
  <w:style w:type="character" w:styleId="af1">
    <w:name w:val="footnote reference"/>
    <w:basedOn w:val="a0"/>
    <w:rPr>
      <w:rFonts w:cs="Times New Roman"/>
      <w:vertAlign w:val="superscript"/>
    </w:rPr>
  </w:style>
  <w:style w:type="character" w:customStyle="1" w:styleId="11">
    <w:name w:val="Знак Знак1"/>
    <w:basedOn w:val="a0"/>
    <w:rPr>
      <w:rFonts w:cs="Times New Roman"/>
    </w:rPr>
  </w:style>
  <w:style w:type="character" w:customStyle="1" w:styleId="FontStyle11">
    <w:name w:val="Font Style11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2">
    <w:name w:val="Заголовок 2 Знак"/>
    <w:basedOn w:val="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rPr>
      <w:rFonts w:ascii="Cambria" w:hAnsi="Cambria" w:cs="Times New Roman"/>
      <w:b/>
      <w:bCs/>
      <w:sz w:val="26"/>
      <w:szCs w:val="26"/>
    </w:rPr>
  </w:style>
  <w:style w:type="character" w:customStyle="1" w:styleId="aa">
    <w:name w:val="Основной текст Знак"/>
    <w:basedOn w:val="a0"/>
    <w:rPr>
      <w:rFonts w:ascii="TimesET" w:hAnsi="TimesET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rPr>
      <w:rFonts w:ascii="TimesET" w:hAnsi="TimesET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rPr>
      <w:rFonts w:ascii="TimesET" w:hAnsi="TimesET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rPr>
      <w:rFonts w:ascii="TimesET" w:hAnsi="TimesET" w:cs="Times New Roman"/>
      <w:sz w:val="16"/>
      <w:szCs w:val="16"/>
    </w:rPr>
  </w:style>
  <w:style w:type="character" w:customStyle="1" w:styleId="24">
    <w:name w:val="Основной текст 2 Знак"/>
    <w:basedOn w:val="a0"/>
    <w:rPr>
      <w:rFonts w:ascii="TimesET" w:hAnsi="TimesET" w:cs="Times New Roman"/>
      <w:sz w:val="24"/>
      <w:szCs w:val="24"/>
    </w:rPr>
  </w:style>
  <w:style w:type="character" w:customStyle="1" w:styleId="34">
    <w:name w:val="Основной текст 3 Знак"/>
    <w:basedOn w:val="a0"/>
    <w:rPr>
      <w:rFonts w:ascii="TimesET" w:hAnsi="TimesET" w:cs="Times New Roman"/>
      <w:sz w:val="16"/>
      <w:szCs w:val="16"/>
    </w:rPr>
  </w:style>
  <w:style w:type="character" w:customStyle="1" w:styleId="ac">
    <w:name w:val="Верхний колонтитул Знак"/>
    <w:basedOn w:val="a0"/>
    <w:rPr>
      <w:rFonts w:ascii="TimesET" w:hAnsi="TimesET" w:cs="Times New Roman"/>
      <w:sz w:val="24"/>
      <w:szCs w:val="24"/>
    </w:rPr>
  </w:style>
  <w:style w:type="character" w:styleId="ad">
    <w:name w:val="page number"/>
    <w:basedOn w:val="a0"/>
    <w:rPr>
      <w:rFonts w:cs="Times New Roman"/>
    </w:rPr>
  </w:style>
  <w:style w:type="character" w:customStyle="1" w:styleId="ae">
    <w:name w:val="Текст выноски Знак"/>
    <w:basedOn w:val="a0"/>
    <w:rPr>
      <w:rFonts w:cs="Times New Roman"/>
      <w:sz w:val="2"/>
    </w:rPr>
  </w:style>
  <w:style w:type="character" w:customStyle="1" w:styleId="af">
    <w:name w:val="Нижний колонтитул Знак"/>
    <w:basedOn w:val="a0"/>
    <w:rPr>
      <w:rFonts w:ascii="TimesET" w:hAnsi="TimesET" w:cs="Times New Roman"/>
      <w:sz w:val="24"/>
      <w:szCs w:val="24"/>
    </w:rPr>
  </w:style>
  <w:style w:type="character" w:customStyle="1" w:styleId="af0">
    <w:name w:val="Текст сноски Знак"/>
    <w:basedOn w:val="a0"/>
    <w:rPr>
      <w:rFonts w:cs="Times New Roman"/>
    </w:rPr>
  </w:style>
  <w:style w:type="character" w:styleId="af1">
    <w:name w:val="footnote reference"/>
    <w:basedOn w:val="a0"/>
    <w:rPr>
      <w:rFonts w:cs="Times New Roman"/>
      <w:vertAlign w:val="superscript"/>
    </w:rPr>
  </w:style>
  <w:style w:type="character" w:customStyle="1" w:styleId="11">
    <w:name w:val="Знак Знак1"/>
    <w:basedOn w:val="a0"/>
    <w:rPr>
      <w:rFonts w:cs="Times New Roman"/>
    </w:rPr>
  </w:style>
  <w:style w:type="character" w:customStyle="1" w:styleId="FontStyle11">
    <w:name w:val="Font Style11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Минстрой 48. Антонина Павлова</cp:lastModifiedBy>
  <cp:revision>6</cp:revision>
  <cp:lastPrinted>2020-12-16T07:24:00Z</cp:lastPrinted>
  <dcterms:created xsi:type="dcterms:W3CDTF">2020-12-14T16:24:00Z</dcterms:created>
  <dcterms:modified xsi:type="dcterms:W3CDTF">2020-12-16T08:30:00Z</dcterms:modified>
</cp:coreProperties>
</file>