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B0" w:rsidRPr="00F5688F" w:rsidRDefault="00F33BB0" w:rsidP="00F33BB0">
      <w:pPr>
        <w:pStyle w:val="20"/>
        <w:ind w:firstLine="0"/>
        <w:jc w:val="center"/>
        <w:rPr>
          <w:b/>
          <w:bCs/>
          <w:sz w:val="28"/>
        </w:rPr>
      </w:pPr>
      <w:bookmarkStart w:id="0" w:name="_GoBack"/>
      <w:bookmarkEnd w:id="0"/>
      <w:r w:rsidRPr="00F5688F">
        <w:rPr>
          <w:b/>
          <w:bCs/>
          <w:sz w:val="28"/>
        </w:rPr>
        <w:t>Потребительский рынок</w:t>
      </w:r>
    </w:p>
    <w:p w:rsidR="00F33BB0" w:rsidRPr="00F5688F" w:rsidRDefault="00F33BB0" w:rsidP="00F33BB0">
      <w:pPr>
        <w:tabs>
          <w:tab w:val="left" w:pos="851"/>
        </w:tabs>
        <w:ind w:right="-143" w:firstLine="709"/>
        <w:jc w:val="both"/>
      </w:pPr>
      <w:bookmarkStart w:id="1" w:name="_Toc463688728"/>
    </w:p>
    <w:p w:rsidR="008C523F" w:rsidRPr="0085222C" w:rsidRDefault="008C523F" w:rsidP="008C523F">
      <w:pPr>
        <w:tabs>
          <w:tab w:val="left" w:pos="851"/>
        </w:tabs>
        <w:ind w:right="-1" w:firstLine="709"/>
        <w:jc w:val="both"/>
      </w:pPr>
      <w:r w:rsidRPr="0085222C">
        <w:t>Общий оборот розничной торговли во всех каналах реализации (с учетом экспертной оценки объема неорганизованного ввоза и продажи товаров на рынках и ярмарках) в I квартале 2020 года составил 41331,4 млн. рублей, что в сопоставимых ценах на 7,5% больше объема I квартала 2019 года.</w:t>
      </w:r>
    </w:p>
    <w:p w:rsidR="00667DAF" w:rsidRPr="0085222C" w:rsidRDefault="00F33BB0" w:rsidP="00667DAF">
      <w:pPr>
        <w:tabs>
          <w:tab w:val="left" w:pos="851"/>
        </w:tabs>
        <w:ind w:right="-1" w:firstLine="709"/>
        <w:jc w:val="both"/>
      </w:pPr>
      <w:r w:rsidRPr="0085222C">
        <w:t>Среди регионов ПФО по индексу физического объема оборота розничной торговли Чувашия зан</w:t>
      </w:r>
      <w:r w:rsidR="00E478A8" w:rsidRPr="0085222C">
        <w:t>я</w:t>
      </w:r>
      <w:r w:rsidRPr="0085222C">
        <w:t xml:space="preserve">ла </w:t>
      </w:r>
      <w:r w:rsidR="00A70233" w:rsidRPr="0085222C">
        <w:t>1</w:t>
      </w:r>
      <w:r w:rsidR="00667DAF" w:rsidRPr="0085222C">
        <w:t xml:space="preserve"> место, по индексу физического объема платных услуг населению – </w:t>
      </w:r>
      <w:r w:rsidR="0063148E" w:rsidRPr="0085222C">
        <w:t>2</w:t>
      </w:r>
      <w:r w:rsidR="00C07731" w:rsidRPr="0085222C">
        <w:t> </w:t>
      </w:r>
      <w:r w:rsidR="00667DAF" w:rsidRPr="0085222C">
        <w:t xml:space="preserve">место, по индексу физического объема оборота общественного питания – </w:t>
      </w:r>
      <w:r w:rsidR="0063148E" w:rsidRPr="0085222C">
        <w:t>4</w:t>
      </w:r>
      <w:r w:rsidR="00667DAF" w:rsidRPr="0085222C">
        <w:t xml:space="preserve"> место.</w:t>
      </w:r>
    </w:p>
    <w:p w:rsidR="00F33BB0" w:rsidRPr="0085222C" w:rsidRDefault="00F33BB0" w:rsidP="00A67A0D">
      <w:pPr>
        <w:tabs>
          <w:tab w:val="left" w:pos="851"/>
        </w:tabs>
        <w:ind w:right="-1" w:firstLine="709"/>
        <w:jc w:val="both"/>
      </w:pPr>
      <w:r w:rsidRPr="0085222C">
        <w:t xml:space="preserve">Оборот розничной торговли на душу населения составил </w:t>
      </w:r>
      <w:r w:rsidR="0063148E" w:rsidRPr="0085222C">
        <w:t>33,9</w:t>
      </w:r>
      <w:r w:rsidRPr="0085222C">
        <w:t xml:space="preserve"> тыс. рублей, что на </w:t>
      </w:r>
      <w:r w:rsidR="0063148E" w:rsidRPr="0085222C">
        <w:t>10,4</w:t>
      </w:r>
      <w:r w:rsidRPr="0085222C">
        <w:t>% больше уровня соответствующего периода прошлого года</w:t>
      </w:r>
      <w:r w:rsidRPr="0085222C">
        <w:rPr>
          <w:color w:val="FF0000"/>
        </w:rPr>
        <w:t xml:space="preserve"> </w:t>
      </w:r>
      <w:r w:rsidRPr="0085222C">
        <w:t>(</w:t>
      </w:r>
      <w:r w:rsidR="0063148E" w:rsidRPr="0085222C">
        <w:t>30,7</w:t>
      </w:r>
      <w:r w:rsidRPr="0085222C">
        <w:t>тыс. рублей), что свидетельствует о постепенном росте потребительского спроса.</w:t>
      </w:r>
    </w:p>
    <w:p w:rsidR="00F33BB0" w:rsidRPr="0085222C" w:rsidRDefault="00F33BB0" w:rsidP="008C523F">
      <w:pPr>
        <w:ind w:right="-1" w:firstLine="709"/>
        <w:jc w:val="both"/>
      </w:pPr>
      <w:r w:rsidRPr="0085222C">
        <w:t xml:space="preserve">Сохраняется тенденция опережающего роста объема продаж непродовольственных товаров. </w:t>
      </w:r>
      <w:r w:rsidR="008C523F" w:rsidRPr="0085222C">
        <w:t xml:space="preserve">В структуре оборота розничной торговли удельный вес пищевых продуктов, включая напитки, и табачных изделий в I квартале 2020 года составил 47,1%, непродовольственных товаров – 52,9%. </w:t>
      </w:r>
      <w:r w:rsidRPr="0085222C">
        <w:t xml:space="preserve">Превышение доли непродовольственных товаров в общем объеме товарооборота является положительным показателем структуры розничного товарооборота и характеризует благоприятные изменения в уровне потребления населения. </w:t>
      </w:r>
    </w:p>
    <w:p w:rsidR="008C523F" w:rsidRPr="0085222C" w:rsidRDefault="008C523F" w:rsidP="008C523F">
      <w:pPr>
        <w:pStyle w:val="20"/>
      </w:pPr>
      <w:r w:rsidRPr="0085222C">
        <w:t xml:space="preserve">В </w:t>
      </w:r>
      <w:r w:rsidRPr="0085222C">
        <w:rPr>
          <w:lang w:val="en-US"/>
        </w:rPr>
        <w:t>I</w:t>
      </w:r>
      <w:r w:rsidRPr="0085222C">
        <w:t xml:space="preserve"> квартале 2020 года оборот розничной торговли на 96,4% формировался торгующими организациями и индивидуальными предпринимателями, осуществляющими деятельность в стационарной торговой сети (вне рынка). Доля продажи товаров на рынках и ярмарках составила 3,6%.</w:t>
      </w:r>
    </w:p>
    <w:p w:rsidR="00F33BB0" w:rsidRPr="0085222C" w:rsidRDefault="00F33BB0" w:rsidP="004B1BD2">
      <w:pPr>
        <w:pStyle w:val="20"/>
        <w:spacing w:line="240" w:lineRule="auto"/>
      </w:pPr>
      <w:r w:rsidRPr="0085222C">
        <w:rPr>
          <w:color w:val="auto"/>
        </w:rPr>
        <w:t xml:space="preserve">Доля </w:t>
      </w:r>
      <w:r w:rsidRPr="0085222C">
        <w:t xml:space="preserve">продажи товаров на рынках и ярмарках в </w:t>
      </w:r>
      <w:r w:rsidR="0063148E" w:rsidRPr="0085222C">
        <w:t>I квартале 2020</w:t>
      </w:r>
      <w:r w:rsidR="00034FBB" w:rsidRPr="0085222C">
        <w:t xml:space="preserve"> </w:t>
      </w:r>
      <w:r w:rsidR="00034FBB" w:rsidRPr="0085222C">
        <w:rPr>
          <w:lang w:val="ru-RU"/>
        </w:rPr>
        <w:t>года</w:t>
      </w:r>
      <w:r w:rsidRPr="0085222C">
        <w:t xml:space="preserve"> составил</w:t>
      </w:r>
      <w:r w:rsidR="00FC1486" w:rsidRPr="0085222C">
        <w:rPr>
          <w:lang w:val="ru-RU"/>
        </w:rPr>
        <w:t>а</w:t>
      </w:r>
      <w:r w:rsidR="0063148E" w:rsidRPr="0085222C">
        <w:rPr>
          <w:lang w:val="ru-RU"/>
        </w:rPr>
        <w:t xml:space="preserve"> 3,6 </w:t>
      </w:r>
      <w:r w:rsidRPr="0085222C">
        <w:t>(в 2014 г. -  5,7%, в 2016 г. – 4,6%, в 2017 г</w:t>
      </w:r>
      <w:r w:rsidR="004A566A" w:rsidRPr="0085222C">
        <w:rPr>
          <w:lang w:val="ru-RU"/>
        </w:rPr>
        <w:t>.</w:t>
      </w:r>
      <w:r w:rsidRPr="0085222C">
        <w:t xml:space="preserve"> – 4,</w:t>
      </w:r>
      <w:r w:rsidR="004A566A" w:rsidRPr="0085222C">
        <w:rPr>
          <w:lang w:val="ru-RU"/>
        </w:rPr>
        <w:t>2</w:t>
      </w:r>
      <w:r w:rsidRPr="0085222C">
        <w:t>%</w:t>
      </w:r>
      <w:r w:rsidR="00034FBB" w:rsidRPr="0085222C">
        <w:rPr>
          <w:lang w:val="ru-RU"/>
        </w:rPr>
        <w:t>, 2018 г. – 4,0%</w:t>
      </w:r>
      <w:r w:rsidR="0063148E" w:rsidRPr="0085222C">
        <w:rPr>
          <w:lang w:val="ru-RU"/>
        </w:rPr>
        <w:t>, 2019 - 4,1%</w:t>
      </w:r>
      <w:r w:rsidRPr="0085222C">
        <w:t>), что свидетельствует о росте предпочтений покупателей более цивилизованным формам обслуживания за счет сглаживания уровня цен в стационарных объектах торговли и на объектах рыночной торговли (рынки, ярмарки).</w:t>
      </w:r>
    </w:p>
    <w:p w:rsidR="00F33BB0" w:rsidRPr="0085222C" w:rsidRDefault="00F33BB0" w:rsidP="00F33BB0">
      <w:pPr>
        <w:ind w:right="-1"/>
        <w:jc w:val="center"/>
        <w:rPr>
          <w:b/>
          <w:caps/>
          <w:sz w:val="18"/>
          <w:szCs w:val="20"/>
        </w:rPr>
      </w:pPr>
    </w:p>
    <w:p w:rsidR="008C523F" w:rsidRPr="0085222C" w:rsidRDefault="008C523F" w:rsidP="008C523F">
      <w:pPr>
        <w:tabs>
          <w:tab w:val="left" w:pos="6237"/>
        </w:tabs>
        <w:jc w:val="center"/>
        <w:rPr>
          <w:b/>
          <w:szCs w:val="20"/>
        </w:rPr>
      </w:pPr>
      <w:r w:rsidRPr="0085222C">
        <w:rPr>
          <w:b/>
          <w:caps/>
          <w:sz w:val="18"/>
          <w:szCs w:val="20"/>
        </w:rPr>
        <w:t xml:space="preserve">Формирование оборота розничной торговли </w:t>
      </w:r>
      <w:r w:rsidRPr="0085222C">
        <w:rPr>
          <w:b/>
          <w:caps/>
          <w:sz w:val="18"/>
          <w:szCs w:val="20"/>
        </w:rPr>
        <w:br/>
      </w:r>
      <w:r w:rsidRPr="0085222C">
        <w:rPr>
          <w:b/>
          <w:szCs w:val="20"/>
        </w:rPr>
        <w:t>в марте 2020 года</w:t>
      </w:r>
    </w:p>
    <w:p w:rsidR="00034FBB" w:rsidRPr="0085222C" w:rsidRDefault="00034FBB" w:rsidP="00034FBB">
      <w:pPr>
        <w:pStyle w:val="af0"/>
        <w:tabs>
          <w:tab w:val="left" w:pos="6237"/>
        </w:tabs>
        <w:rPr>
          <w:lang w:val="ru-RU"/>
        </w:rPr>
      </w:pPr>
    </w:p>
    <w:p w:rsidR="00667DAF" w:rsidRPr="0085222C" w:rsidRDefault="00667DAF" w:rsidP="00034FBB">
      <w:pPr>
        <w:ind w:right="-1" w:firstLine="709"/>
        <w:jc w:val="center"/>
        <w:rPr>
          <w:sz w:val="22"/>
          <w:szCs w:val="20"/>
        </w:rPr>
      </w:pPr>
      <w:r w:rsidRPr="0085222C">
        <w:rPr>
          <w:noProof/>
          <w:sz w:val="22"/>
        </w:rPr>
        <w:drawing>
          <wp:inline distT="0" distB="0" distL="0" distR="0" wp14:anchorId="65220586" wp14:editId="653ACA75">
            <wp:extent cx="4286250" cy="26003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33BB0" w:rsidRPr="0085222C" w:rsidRDefault="00F33BB0" w:rsidP="00F33BB0">
      <w:pPr>
        <w:ind w:left="1560" w:right="-1"/>
        <w:rPr>
          <w:szCs w:val="20"/>
        </w:rPr>
      </w:pPr>
      <w:r w:rsidRPr="0085222C">
        <w:rPr>
          <w:szCs w:val="20"/>
        </w:rPr>
        <w:t>1 – организации, не относящиеся к субъектам малого предпринимательства</w:t>
      </w:r>
    </w:p>
    <w:p w:rsidR="00F33BB0" w:rsidRPr="0085222C" w:rsidRDefault="00F33BB0" w:rsidP="00F33BB0">
      <w:pPr>
        <w:ind w:left="1560" w:right="-1"/>
        <w:rPr>
          <w:szCs w:val="20"/>
        </w:rPr>
      </w:pPr>
      <w:r w:rsidRPr="0085222C">
        <w:rPr>
          <w:szCs w:val="20"/>
        </w:rPr>
        <w:t>2 – малые предприятия (включая микропредприятия)</w:t>
      </w:r>
    </w:p>
    <w:p w:rsidR="00F33BB0" w:rsidRPr="0085222C" w:rsidRDefault="00F33BB0" w:rsidP="00F33BB0">
      <w:pPr>
        <w:ind w:left="1560" w:right="-1"/>
        <w:rPr>
          <w:szCs w:val="20"/>
        </w:rPr>
      </w:pPr>
      <w:r w:rsidRPr="0085222C">
        <w:rPr>
          <w:szCs w:val="20"/>
        </w:rPr>
        <w:t xml:space="preserve">3 – индивидуальные предприниматели, реализующие товары вне рынка и ярмарки </w:t>
      </w:r>
    </w:p>
    <w:p w:rsidR="00F33BB0" w:rsidRPr="0085222C" w:rsidRDefault="00F33BB0" w:rsidP="00F33BB0">
      <w:pPr>
        <w:ind w:left="1560" w:right="-1"/>
        <w:rPr>
          <w:szCs w:val="20"/>
        </w:rPr>
      </w:pPr>
      <w:r w:rsidRPr="0085222C">
        <w:rPr>
          <w:szCs w:val="20"/>
        </w:rPr>
        <w:t>4 – продажа товаров на рынках и ярмарках</w:t>
      </w:r>
    </w:p>
    <w:p w:rsidR="00F33BB0" w:rsidRPr="0085222C" w:rsidRDefault="00F33BB0" w:rsidP="00F33BB0">
      <w:pPr>
        <w:ind w:right="-1" w:firstLine="1701"/>
        <w:rPr>
          <w:szCs w:val="20"/>
        </w:rPr>
      </w:pPr>
    </w:p>
    <w:p w:rsidR="00F33BB0" w:rsidRPr="0085222C" w:rsidRDefault="00F33BB0" w:rsidP="00F33BB0">
      <w:pPr>
        <w:ind w:right="-1" w:firstLine="709"/>
        <w:jc w:val="both"/>
      </w:pPr>
      <w:r w:rsidRPr="0085222C">
        <w:lastRenderedPageBreak/>
        <w:t xml:space="preserve">В </w:t>
      </w:r>
      <w:r w:rsidR="00034FBB" w:rsidRPr="0085222C">
        <w:t>20</w:t>
      </w:r>
      <w:r w:rsidR="00DA1B53" w:rsidRPr="0085222C">
        <w:t>20</w:t>
      </w:r>
      <w:r w:rsidR="00034FBB" w:rsidRPr="0085222C">
        <w:t xml:space="preserve"> год</w:t>
      </w:r>
      <w:r w:rsidR="00457EA2" w:rsidRPr="0085222C">
        <w:t>у</w:t>
      </w:r>
      <w:r w:rsidR="00034FBB" w:rsidRPr="0085222C">
        <w:t xml:space="preserve"> </w:t>
      </w:r>
      <w:r w:rsidRPr="0085222C">
        <w:t xml:space="preserve">рынок продовольствия отличался стабильностью, факты повышенного (ажиотажного) спроса, а также исчезновение отдельных видов товаров не наблюдались. Ежедневные потребности в продуктах питания и спрос населения на них удовлетворены в полном объеме. На </w:t>
      </w:r>
      <w:r w:rsidR="00DA1B53" w:rsidRPr="0085222C">
        <w:t>конец марта</w:t>
      </w:r>
      <w:r w:rsidRPr="0085222C">
        <w:t xml:space="preserve"> 20</w:t>
      </w:r>
      <w:r w:rsidR="003152B7" w:rsidRPr="0085222C">
        <w:t>20</w:t>
      </w:r>
      <w:r w:rsidRPr="0085222C">
        <w:t xml:space="preserve"> года в организациях розничной торговли имелось товарных запасов на </w:t>
      </w:r>
      <w:r w:rsidR="003152B7" w:rsidRPr="0085222C">
        <w:t>108</w:t>
      </w:r>
      <w:r w:rsidR="00DA1B53" w:rsidRPr="0085222C">
        <w:t>16</w:t>
      </w:r>
      <w:r w:rsidR="003152B7" w:rsidRPr="0085222C">
        <w:t xml:space="preserve">,6 </w:t>
      </w:r>
      <w:r w:rsidRPr="0085222C">
        <w:t>млн. рублей, или на 4</w:t>
      </w:r>
      <w:r w:rsidR="00DA1B53" w:rsidRPr="0085222C">
        <w:t>4</w:t>
      </w:r>
      <w:r w:rsidRPr="0085222C">
        <w:t xml:space="preserve"> дн</w:t>
      </w:r>
      <w:r w:rsidR="00F80390" w:rsidRPr="0085222C">
        <w:t>ей</w:t>
      </w:r>
      <w:r w:rsidRPr="0085222C">
        <w:t xml:space="preserve"> торговли. В </w:t>
      </w:r>
      <w:r w:rsidR="00DA1B53" w:rsidRPr="0085222C">
        <w:rPr>
          <w:lang w:val="en-US"/>
        </w:rPr>
        <w:t>I</w:t>
      </w:r>
      <w:r w:rsidR="00DA1B53" w:rsidRPr="0085222C">
        <w:t xml:space="preserve"> квартале 2020</w:t>
      </w:r>
      <w:r w:rsidRPr="0085222C">
        <w:t xml:space="preserve"> года наибольший объем товарных запасов в розничной торговли отмечен в феврале (5</w:t>
      </w:r>
      <w:r w:rsidR="00DA1B53" w:rsidRPr="0085222C">
        <w:t>1</w:t>
      </w:r>
      <w:r w:rsidRPr="0085222C">
        <w:t xml:space="preserve"> дней).</w:t>
      </w:r>
    </w:p>
    <w:p w:rsidR="00DA1B53" w:rsidRPr="0085222C" w:rsidRDefault="00DA1B53" w:rsidP="00DA1B53">
      <w:pPr>
        <w:ind w:right="-1" w:firstLine="709"/>
        <w:jc w:val="both"/>
        <w:rPr>
          <w:bCs/>
        </w:rPr>
      </w:pPr>
      <w:r w:rsidRPr="0085222C">
        <w:rPr>
          <w:bCs/>
        </w:rPr>
        <w:t xml:space="preserve">Общий оборот оптовой торговли в </w:t>
      </w:r>
      <w:r w:rsidRPr="0085222C">
        <w:rPr>
          <w:bCs/>
          <w:lang w:val="en-US"/>
        </w:rPr>
        <w:t>I</w:t>
      </w:r>
      <w:r w:rsidRPr="0085222C">
        <w:rPr>
          <w:bCs/>
        </w:rPr>
        <w:t xml:space="preserve"> квартале 2020 года составил 43712,3 млн. рублей, или 115,3% к </w:t>
      </w:r>
      <w:r w:rsidRPr="0085222C">
        <w:rPr>
          <w:bCs/>
          <w:lang w:val="en-US"/>
        </w:rPr>
        <w:t>I</w:t>
      </w:r>
      <w:r w:rsidRPr="0085222C">
        <w:rPr>
          <w:bCs/>
        </w:rPr>
        <w:t xml:space="preserve"> кварталу 2019 года. В общем объеме оборота оптовой торговли на долю организаций, не относящихся к субъектам малого предпринимательства, приходилось 51,4%, на долю субъектов малого предпринимательства – 48,6%. В </w:t>
      </w:r>
      <w:r w:rsidRPr="0085222C">
        <w:rPr>
          <w:bCs/>
          <w:lang w:val="en-US"/>
        </w:rPr>
        <w:t>I</w:t>
      </w:r>
      <w:r w:rsidRPr="0085222C">
        <w:rPr>
          <w:bCs/>
        </w:rPr>
        <w:t xml:space="preserve"> квартале 2020 года оборот оптовой торговли на 76,7% формировался организациями оптовой торговли.</w:t>
      </w:r>
    </w:p>
    <w:p w:rsidR="00DA1B53" w:rsidRPr="0085222C" w:rsidRDefault="00DA1B53" w:rsidP="00BA6B52">
      <w:pPr>
        <w:ind w:right="-1" w:firstLine="709"/>
        <w:jc w:val="both"/>
      </w:pPr>
      <w:r w:rsidRPr="0085222C">
        <w:t>Оборот общественного питания в I квартале 2020 года составил 2660,6 млн. рублей, что в сопоставимых ценах на 1,8% меньше уровня I квартала 2019 года.</w:t>
      </w:r>
    </w:p>
    <w:p w:rsidR="00DE480F" w:rsidRPr="0085222C" w:rsidRDefault="00DE480F" w:rsidP="00BA6B52">
      <w:pPr>
        <w:ind w:right="-1" w:firstLine="709"/>
        <w:jc w:val="both"/>
      </w:pPr>
      <w:r w:rsidRPr="0085222C">
        <w:t xml:space="preserve">Населению республики было оказано платных услуг на </w:t>
      </w:r>
      <w:r w:rsidR="00EF2CF6" w:rsidRPr="0085222C">
        <w:t>13,8</w:t>
      </w:r>
      <w:r w:rsidRPr="0085222C">
        <w:t xml:space="preserve"> млн. рубл</w:t>
      </w:r>
      <w:r w:rsidR="00EF2CF6" w:rsidRPr="0085222C">
        <w:t xml:space="preserve">ей, что на 0,1% выше уровня </w:t>
      </w:r>
      <w:r w:rsidR="00EF2CF6" w:rsidRPr="0085222C">
        <w:rPr>
          <w:lang w:val="en-US"/>
        </w:rPr>
        <w:t>I</w:t>
      </w:r>
      <w:r w:rsidR="00EF2CF6" w:rsidRPr="0085222C">
        <w:t xml:space="preserve"> квартала 2019</w:t>
      </w:r>
      <w:r w:rsidRPr="0085222C">
        <w:t xml:space="preserve"> года.</w:t>
      </w:r>
    </w:p>
    <w:bookmarkEnd w:id="1"/>
    <w:p w:rsidR="00F33BB0" w:rsidRPr="0085222C" w:rsidRDefault="00F33BB0" w:rsidP="00F33BB0">
      <w:pPr>
        <w:ind w:right="-1" w:firstLine="709"/>
        <w:jc w:val="both"/>
      </w:pPr>
      <w:r w:rsidRPr="0085222C">
        <w:t xml:space="preserve">В Чувашской Республике насчитывается </w:t>
      </w:r>
      <w:r w:rsidR="00BB31B2" w:rsidRPr="0085222C">
        <w:t>6,0</w:t>
      </w:r>
      <w:r w:rsidRPr="0085222C">
        <w:t xml:space="preserve"> тыс. объектов розничной торговли, около 2,3 тыс. объектов бытовых услуг, более 1,1 тыс. объектов общественного питания.</w:t>
      </w:r>
      <w:r w:rsidR="00C84BB8" w:rsidRPr="0085222C">
        <w:t xml:space="preserve">  </w:t>
      </w:r>
    </w:p>
    <w:p w:rsidR="00F33BB0" w:rsidRPr="0085222C" w:rsidRDefault="00F33BB0" w:rsidP="00F33BB0">
      <w:pPr>
        <w:widowControl w:val="0"/>
        <w:ind w:right="-1" w:firstLine="851"/>
        <w:jc w:val="both"/>
      </w:pPr>
      <w:r w:rsidRPr="0085222C">
        <w:rPr>
          <w:color w:val="000000"/>
        </w:rPr>
        <w:t xml:space="preserve">Удельный вес инвестиций в торговлю в общем объеме инвестиций в основной капитал Чувашской Республики </w:t>
      </w:r>
      <w:r w:rsidRPr="0085222C">
        <w:t>составил 4,</w:t>
      </w:r>
      <w:r w:rsidR="00A67A0D" w:rsidRPr="0085222C">
        <w:t>0</w:t>
      </w:r>
      <w:r w:rsidRPr="0085222C">
        <w:t>%</w:t>
      </w:r>
      <w:r w:rsidR="003B51D3" w:rsidRPr="0085222C">
        <w:t>, что соответствует уровню</w:t>
      </w:r>
      <w:r w:rsidRPr="0085222C">
        <w:t xml:space="preserve"> 201</w:t>
      </w:r>
      <w:r w:rsidR="008623D4" w:rsidRPr="0085222C">
        <w:t>8</w:t>
      </w:r>
      <w:r w:rsidRPr="0085222C">
        <w:t xml:space="preserve"> года. За</w:t>
      </w:r>
      <w:r w:rsidR="00873BFE" w:rsidRPr="0085222C">
        <w:t xml:space="preserve"> </w:t>
      </w:r>
      <w:r w:rsidR="00BB31B2" w:rsidRPr="0085222C">
        <w:t xml:space="preserve">2019 год </w:t>
      </w:r>
      <w:r w:rsidRPr="0085222C">
        <w:t xml:space="preserve">открыто и реконструировано </w:t>
      </w:r>
      <w:r w:rsidR="003152B7" w:rsidRPr="0085222C">
        <w:t>310</w:t>
      </w:r>
      <w:r w:rsidRPr="0085222C">
        <w:t xml:space="preserve"> объект</w:t>
      </w:r>
      <w:r w:rsidR="003152B7" w:rsidRPr="0085222C">
        <w:t>ов</w:t>
      </w:r>
      <w:r w:rsidRPr="0085222C">
        <w:t xml:space="preserve"> потребительского рынка</w:t>
      </w:r>
      <w:r w:rsidR="00873BFE" w:rsidRPr="0085222C">
        <w:t xml:space="preserve">, создано более </w:t>
      </w:r>
      <w:r w:rsidR="003152B7" w:rsidRPr="0085222C">
        <w:t>1,0 тыс.</w:t>
      </w:r>
      <w:r w:rsidR="00873BFE" w:rsidRPr="0085222C">
        <w:t xml:space="preserve"> рабочих мест</w:t>
      </w:r>
      <w:r w:rsidRPr="0085222C">
        <w:t xml:space="preserve">, обеспеченность населения площадью торговых объектов на 1000 чел. достигла </w:t>
      </w:r>
      <w:r w:rsidR="003152B7" w:rsidRPr="0085222C">
        <w:t>796,6</w:t>
      </w:r>
      <w:r w:rsidRPr="0085222C">
        <w:t xml:space="preserve"> кв. м., что в </w:t>
      </w:r>
      <w:r w:rsidR="003D736C" w:rsidRPr="0085222C">
        <w:t>2,</w:t>
      </w:r>
      <w:r w:rsidR="003152B7" w:rsidRPr="0085222C">
        <w:t>5</w:t>
      </w:r>
      <w:r w:rsidRPr="0085222C">
        <w:t xml:space="preserve"> раза выше установленного норматива (317,</w:t>
      </w:r>
      <w:r w:rsidR="003D736C" w:rsidRPr="0085222C">
        <w:t>5</w:t>
      </w:r>
      <w:r w:rsidRPr="0085222C">
        <w:t xml:space="preserve"> кв. м.). </w:t>
      </w:r>
    </w:p>
    <w:p w:rsidR="00F33BB0" w:rsidRPr="0085222C" w:rsidRDefault="00F33BB0" w:rsidP="00F33BB0">
      <w:pPr>
        <w:widowControl w:val="0"/>
        <w:ind w:right="-1" w:firstLine="851"/>
        <w:jc w:val="both"/>
        <w:rPr>
          <w:color w:val="000000"/>
        </w:rPr>
      </w:pPr>
      <w:r w:rsidRPr="0085222C">
        <w:t xml:space="preserve">Развитие розничной торговой сети в сельской местности происходит за счет </w:t>
      </w:r>
      <w:r w:rsidRPr="0085222C">
        <w:rPr>
          <w:color w:val="000000"/>
        </w:rPr>
        <w:t xml:space="preserve">расширения развозной торговли, а также дистанционной торговли (в том числе по заказам), в основном силами организаций системы потребительской кооперации. Кооперативные организации обеспечивают по заявкам сельское население и крестьянские (фермерские) хозяйства транспортными средствами, строительными материалами, сельскохозяйственной техникой, инвентарем, семенами овощных культур и удобрениями. Организации и предприятия Чувашпотребсоюза обеспечивают занятостью в сельской местности </w:t>
      </w:r>
      <w:r w:rsidR="0051757C" w:rsidRPr="0085222C">
        <w:rPr>
          <w:color w:val="000000"/>
        </w:rPr>
        <w:t>около 6</w:t>
      </w:r>
      <w:r w:rsidRPr="0085222C">
        <w:rPr>
          <w:color w:val="000000"/>
        </w:rPr>
        <w:t xml:space="preserve"> тысяч человек.</w:t>
      </w:r>
    </w:p>
    <w:p w:rsidR="00F33BB0" w:rsidRPr="0085222C" w:rsidRDefault="00F33BB0" w:rsidP="00F33BB0">
      <w:pPr>
        <w:widowControl w:val="0"/>
        <w:autoSpaceDE w:val="0"/>
        <w:autoSpaceDN w:val="0"/>
        <w:adjustRightInd w:val="0"/>
        <w:ind w:right="-1" w:firstLine="916"/>
        <w:jc w:val="both"/>
      </w:pPr>
      <w:r w:rsidRPr="0085222C">
        <w:t>Прогрессирующее развитие информационных технологий, широкое распространение информационно-</w:t>
      </w:r>
      <w:r w:rsidR="008623D4" w:rsidRPr="0085222C">
        <w:t>телекоммуникационной</w:t>
      </w:r>
      <w:r w:rsidRPr="0085222C">
        <w:t xml:space="preserve"> сети Интернет, информатизация общества способствуют развитию</w:t>
      </w:r>
      <w:r w:rsidR="00BB31B2" w:rsidRPr="0085222C">
        <w:t xml:space="preserve"> более </w:t>
      </w:r>
      <w:r w:rsidR="00682DA0" w:rsidRPr="0085222C">
        <w:t>400</w:t>
      </w:r>
      <w:r w:rsidR="00BB31B2" w:rsidRPr="0085222C">
        <w:t xml:space="preserve"> интернет-магазинов</w:t>
      </w:r>
      <w:r w:rsidRPr="0085222C">
        <w:t xml:space="preserve">. </w:t>
      </w:r>
    </w:p>
    <w:p w:rsidR="00F33BB0" w:rsidRPr="0085222C" w:rsidRDefault="00F33BB0" w:rsidP="00F33BB0">
      <w:pPr>
        <w:widowControl w:val="0"/>
        <w:ind w:right="-1" w:firstLine="851"/>
        <w:jc w:val="both"/>
        <w:rPr>
          <w:color w:val="000000"/>
        </w:rPr>
      </w:pPr>
      <w:r w:rsidRPr="0085222C">
        <w:rPr>
          <w:color w:val="000000"/>
        </w:rPr>
        <w:t>В о</w:t>
      </w:r>
      <w:r w:rsidRPr="0085222C">
        <w:rPr>
          <w:iCs/>
          <w:color w:val="000000"/>
        </w:rPr>
        <w:t>рганизациях розничной торговли продолжается работа по привлечению покупателей путем проведения таких</w:t>
      </w:r>
      <w:r w:rsidRPr="0085222C">
        <w:rPr>
          <w:color w:val="000000"/>
        </w:rPr>
        <w:t xml:space="preserve"> форм торговли, как распродажи, скидки, акции. Большинство жителей городов республики имеют возможность выбора объектов различных форматов – от крупных торговых комплексов, гипермаркетов до магазинов «в шаговой доступности», широкий ассортимент товаров и услуг, различные формы расчетов (наличный и безналичный) и обслуживания (через Интернет, доставка на дом по заявкам, кейтеринговые услуги и др.).</w:t>
      </w:r>
    </w:p>
    <w:p w:rsidR="00F33BB0" w:rsidRPr="0085222C" w:rsidRDefault="00F33BB0" w:rsidP="00F33BB0">
      <w:pPr>
        <w:widowControl w:val="0"/>
        <w:ind w:right="-1" w:firstLine="851"/>
        <w:jc w:val="both"/>
        <w:rPr>
          <w:color w:val="000000"/>
        </w:rPr>
      </w:pPr>
      <w:r w:rsidRPr="0085222C">
        <w:rPr>
          <w:color w:val="000000"/>
        </w:rPr>
        <w:t>Все больше в магазинах появляется продукция местных товаропроизводителей, экологически чистых и пользующихся спросом у населения. Этому способствует активное взаимодействие органов государственной власти с производственными и торгующими организациями. Созданная на базе Минэкономразвития Чувашии переговорная площадка для товаропроизводителей и торговых сетей позволила ускорить процессы заключения договоров поставки и увеличить в торговых сетях представленность товаров отечественных товаропроизводителей.</w:t>
      </w:r>
    </w:p>
    <w:p w:rsidR="00F33BB0" w:rsidRPr="0085222C" w:rsidRDefault="00F33BB0" w:rsidP="00F33BB0">
      <w:pPr>
        <w:widowControl w:val="0"/>
        <w:ind w:right="-1" w:firstLine="851"/>
        <w:jc w:val="both"/>
      </w:pPr>
      <w:r w:rsidRPr="0085222C">
        <w:t xml:space="preserve">Большое внимание уделяется организации мероприятий, направленных на повышение квалификации и профессионализма руководителей и специалистов сферы потребительского рынка. Проведены круглый стол с представителями организаций </w:t>
      </w:r>
      <w:r w:rsidRPr="0085222C">
        <w:lastRenderedPageBreak/>
        <w:t xml:space="preserve">потребительского рынка по вопросам защиты прав потребителей, </w:t>
      </w:r>
      <w:r w:rsidR="009C40CA" w:rsidRPr="0085222C">
        <w:t xml:space="preserve">публичные обсуждения результатов правоприменительной практики при осуществлении контрольно-надзорной деятельности, </w:t>
      </w:r>
      <w:r w:rsidRPr="0085222C">
        <w:t>семинары</w:t>
      </w:r>
      <w:r w:rsidR="0051757C" w:rsidRPr="0085222C">
        <w:t xml:space="preserve"> и совещания </w:t>
      </w:r>
      <w:r w:rsidRPr="0085222C">
        <w:t xml:space="preserve"> по вопросам полномочий органов государственной власти субъектов Российской Федерации и органов местного самоуправления в области регулирования торговой деятельности</w:t>
      </w:r>
      <w:r w:rsidRPr="0085222C">
        <w:rPr>
          <w:color w:val="FF0000"/>
        </w:rPr>
        <w:t xml:space="preserve">, </w:t>
      </w:r>
      <w:r w:rsidR="0051757C" w:rsidRPr="0085222C">
        <w:t xml:space="preserve">презентации продукции </w:t>
      </w:r>
      <w:r w:rsidR="008C7AB5" w:rsidRPr="0085222C">
        <w:t>ООО «Мясоперерабатывающее предприятие «Приволжские колбасы»</w:t>
      </w:r>
      <w:r w:rsidR="0051757C" w:rsidRPr="0085222C">
        <w:t xml:space="preserve">, </w:t>
      </w:r>
      <w:r w:rsidR="006D059A" w:rsidRPr="0085222C">
        <w:t>Чувашхлебопродукт, 3</w:t>
      </w:r>
      <w:r w:rsidR="00C0397B" w:rsidRPr="0085222C">
        <w:rPr>
          <w:lang w:val="en-US"/>
        </w:rPr>
        <w:t> </w:t>
      </w:r>
      <w:r w:rsidR="0051757C" w:rsidRPr="0085222C">
        <w:t>заседани</w:t>
      </w:r>
      <w:r w:rsidR="00B347FE" w:rsidRPr="0085222C">
        <w:t>я</w:t>
      </w:r>
      <w:r w:rsidR="0051757C" w:rsidRPr="0085222C">
        <w:t xml:space="preserve"> Координационного совета по защите прав потребителей при Главе Чувашской Республики.</w:t>
      </w:r>
    </w:p>
    <w:p w:rsidR="00F33BB0" w:rsidRPr="0085222C" w:rsidRDefault="00F33BB0" w:rsidP="00F33BB0">
      <w:pPr>
        <w:widowControl w:val="0"/>
        <w:ind w:right="-1" w:firstLine="851"/>
        <w:jc w:val="both"/>
        <w:rPr>
          <w:color w:val="000000"/>
        </w:rPr>
      </w:pPr>
      <w:r w:rsidRPr="0085222C">
        <w:rPr>
          <w:color w:val="000000"/>
        </w:rPr>
        <w:t>Основными задачами на 20</w:t>
      </w:r>
      <w:r w:rsidR="007B30D8" w:rsidRPr="0085222C">
        <w:rPr>
          <w:color w:val="000000"/>
        </w:rPr>
        <w:t>20</w:t>
      </w:r>
      <w:r w:rsidRPr="0085222C">
        <w:rPr>
          <w:color w:val="000000"/>
        </w:rPr>
        <w:t xml:space="preserve"> год являются:</w:t>
      </w:r>
    </w:p>
    <w:p w:rsidR="00F33BB0" w:rsidRPr="0085222C" w:rsidRDefault="00F33BB0" w:rsidP="00F33BB0">
      <w:pPr>
        <w:ind w:right="-1" w:firstLine="851"/>
        <w:contextualSpacing/>
        <w:jc w:val="both"/>
        <w:rPr>
          <w:color w:val="000000"/>
        </w:rPr>
      </w:pPr>
      <w:r w:rsidRPr="0085222C">
        <w:rPr>
          <w:color w:val="000000"/>
        </w:rPr>
        <w:t>обеспечение реализации Плана мероприятий по реализации в Чувашской Республике Стратегии развития торговли в Российской Федерации, предусматривающего поддержку рыночной торговли, развитие магазинов «в шаговой доступности», малых форм торговли, совершенствование системы организации нестационарной торговли, мобилизации данных каналов сбыта для развития местного производства продуктов питания и сельскохозяйственной продукции;</w:t>
      </w:r>
    </w:p>
    <w:p w:rsidR="00F33BB0" w:rsidRPr="0085222C" w:rsidRDefault="00F33BB0" w:rsidP="00F33BB0">
      <w:pPr>
        <w:ind w:right="-1" w:firstLine="851"/>
        <w:contextualSpacing/>
        <w:jc w:val="both"/>
        <w:rPr>
          <w:color w:val="000000"/>
        </w:rPr>
      </w:pPr>
      <w:r w:rsidRPr="0085222C">
        <w:rPr>
          <w:color w:val="000000"/>
        </w:rPr>
        <w:t>обеспечение качества и безопасности реализуемых товаров и оказываемых услуг;</w:t>
      </w:r>
    </w:p>
    <w:p w:rsidR="00F33BB0" w:rsidRDefault="00F33BB0" w:rsidP="00F33BB0">
      <w:pPr>
        <w:ind w:right="-1" w:firstLine="851"/>
        <w:contextualSpacing/>
        <w:jc w:val="both"/>
        <w:rPr>
          <w:color w:val="000000"/>
        </w:rPr>
      </w:pPr>
      <w:r w:rsidRPr="0085222C">
        <w:rPr>
          <w:color w:val="000000"/>
        </w:rPr>
        <w:t>повышение культуры обслуживания в организациях потребительского рынка.</w:t>
      </w:r>
    </w:p>
    <w:p w:rsidR="0009046B" w:rsidRDefault="0009046B" w:rsidP="00F33BB0">
      <w:pPr>
        <w:ind w:right="-1" w:firstLine="851"/>
        <w:contextualSpacing/>
        <w:jc w:val="both"/>
        <w:rPr>
          <w:color w:val="000000"/>
        </w:rPr>
      </w:pPr>
    </w:p>
    <w:p w:rsidR="0009046B" w:rsidRPr="00C02B0E" w:rsidRDefault="0009046B" w:rsidP="00F33BB0">
      <w:pPr>
        <w:ind w:right="-1" w:firstLine="851"/>
        <w:contextualSpacing/>
        <w:jc w:val="both"/>
        <w:rPr>
          <w:color w:val="000000"/>
        </w:rPr>
      </w:pPr>
    </w:p>
    <w:sectPr w:rsidR="0009046B" w:rsidRPr="00C02B0E" w:rsidSect="00F3364D">
      <w:headerReference w:type="default" r:id="rId8"/>
      <w:pgSz w:w="11906" w:h="16838"/>
      <w:pgMar w:top="1134" w:right="850" w:bottom="1134" w:left="1701" w:header="708" w:footer="708"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E71" w:rsidRDefault="00D02E71" w:rsidP="00F33BB0">
      <w:r>
        <w:separator/>
      </w:r>
    </w:p>
  </w:endnote>
  <w:endnote w:type="continuationSeparator" w:id="0">
    <w:p w:rsidR="00D02E71" w:rsidRDefault="00D02E71" w:rsidP="00F3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E71" w:rsidRDefault="00D02E71" w:rsidP="00F33BB0">
      <w:r>
        <w:separator/>
      </w:r>
    </w:p>
  </w:footnote>
  <w:footnote w:type="continuationSeparator" w:id="0">
    <w:p w:rsidR="00D02E71" w:rsidRDefault="00D02E71" w:rsidP="00F33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392994"/>
      <w:docPartObj>
        <w:docPartGallery w:val="Page Numbers (Top of Page)"/>
        <w:docPartUnique/>
      </w:docPartObj>
    </w:sdtPr>
    <w:sdtEndPr/>
    <w:sdtContent>
      <w:p w:rsidR="00F33BB0" w:rsidRDefault="00F33BB0">
        <w:pPr>
          <w:pStyle w:val="aa"/>
          <w:jc w:val="center"/>
        </w:pPr>
        <w:r>
          <w:fldChar w:fldCharType="begin"/>
        </w:r>
        <w:r>
          <w:instrText>PAGE   \* MERGEFORMAT</w:instrText>
        </w:r>
        <w:r>
          <w:fldChar w:fldCharType="separate"/>
        </w:r>
        <w:r w:rsidR="003428DF">
          <w:rPr>
            <w:noProof/>
          </w:rPr>
          <w:t>42</w:t>
        </w:r>
        <w:r>
          <w:fldChar w:fldCharType="end"/>
        </w:r>
      </w:p>
    </w:sdtContent>
  </w:sdt>
  <w:p w:rsidR="00F33BB0" w:rsidRDefault="00F33BB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B0"/>
    <w:rsid w:val="00034FBB"/>
    <w:rsid w:val="000426CA"/>
    <w:rsid w:val="0005369E"/>
    <w:rsid w:val="0009046B"/>
    <w:rsid w:val="000B3C22"/>
    <w:rsid w:val="000B4180"/>
    <w:rsid w:val="00156576"/>
    <w:rsid w:val="001A6005"/>
    <w:rsid w:val="001F74DE"/>
    <w:rsid w:val="00206540"/>
    <w:rsid w:val="00224E23"/>
    <w:rsid w:val="00263896"/>
    <w:rsid w:val="002C0532"/>
    <w:rsid w:val="002D3799"/>
    <w:rsid w:val="00312BE3"/>
    <w:rsid w:val="003152B7"/>
    <w:rsid w:val="003428DF"/>
    <w:rsid w:val="003923A8"/>
    <w:rsid w:val="00392A39"/>
    <w:rsid w:val="003A34FD"/>
    <w:rsid w:val="003B51D3"/>
    <w:rsid w:val="003D72E1"/>
    <w:rsid w:val="003D736C"/>
    <w:rsid w:val="004174D0"/>
    <w:rsid w:val="00420589"/>
    <w:rsid w:val="00453B94"/>
    <w:rsid w:val="00457EA2"/>
    <w:rsid w:val="004A0542"/>
    <w:rsid w:val="004A566A"/>
    <w:rsid w:val="004B1BD2"/>
    <w:rsid w:val="004C3BAB"/>
    <w:rsid w:val="0051757C"/>
    <w:rsid w:val="00531306"/>
    <w:rsid w:val="00534BAF"/>
    <w:rsid w:val="00552D84"/>
    <w:rsid w:val="005548BA"/>
    <w:rsid w:val="005D02DF"/>
    <w:rsid w:val="005D13AF"/>
    <w:rsid w:val="005D34CA"/>
    <w:rsid w:val="005E2A8A"/>
    <w:rsid w:val="00605C9D"/>
    <w:rsid w:val="006141AC"/>
    <w:rsid w:val="00630DF8"/>
    <w:rsid w:val="0063148E"/>
    <w:rsid w:val="00651D23"/>
    <w:rsid w:val="006634CE"/>
    <w:rsid w:val="00667DAF"/>
    <w:rsid w:val="00677454"/>
    <w:rsid w:val="00682DA0"/>
    <w:rsid w:val="006B7C3F"/>
    <w:rsid w:val="006C5C2C"/>
    <w:rsid w:val="006D059A"/>
    <w:rsid w:val="006E554B"/>
    <w:rsid w:val="006F1469"/>
    <w:rsid w:val="00731C46"/>
    <w:rsid w:val="0073209A"/>
    <w:rsid w:val="00750E11"/>
    <w:rsid w:val="007511BD"/>
    <w:rsid w:val="00763B08"/>
    <w:rsid w:val="00782003"/>
    <w:rsid w:val="007B30D8"/>
    <w:rsid w:val="00820A11"/>
    <w:rsid w:val="00835B75"/>
    <w:rsid w:val="00842F71"/>
    <w:rsid w:val="00850249"/>
    <w:rsid w:val="0085222C"/>
    <w:rsid w:val="008623D4"/>
    <w:rsid w:val="00872333"/>
    <w:rsid w:val="00873BFE"/>
    <w:rsid w:val="008C523F"/>
    <w:rsid w:val="008C7AB5"/>
    <w:rsid w:val="008D1069"/>
    <w:rsid w:val="008F02BB"/>
    <w:rsid w:val="008F0BAB"/>
    <w:rsid w:val="008F24E4"/>
    <w:rsid w:val="009052C7"/>
    <w:rsid w:val="00914F2D"/>
    <w:rsid w:val="00922B48"/>
    <w:rsid w:val="00937F74"/>
    <w:rsid w:val="00942B0E"/>
    <w:rsid w:val="009715BE"/>
    <w:rsid w:val="00973650"/>
    <w:rsid w:val="009B5374"/>
    <w:rsid w:val="009C40CA"/>
    <w:rsid w:val="009F1FBA"/>
    <w:rsid w:val="00A32F2A"/>
    <w:rsid w:val="00A67A0D"/>
    <w:rsid w:val="00A70233"/>
    <w:rsid w:val="00A74B9F"/>
    <w:rsid w:val="00AF5D75"/>
    <w:rsid w:val="00B347FE"/>
    <w:rsid w:val="00B84703"/>
    <w:rsid w:val="00BA6B52"/>
    <w:rsid w:val="00BB31B2"/>
    <w:rsid w:val="00C0397B"/>
    <w:rsid w:val="00C0586D"/>
    <w:rsid w:val="00C07731"/>
    <w:rsid w:val="00C12709"/>
    <w:rsid w:val="00C37214"/>
    <w:rsid w:val="00C45037"/>
    <w:rsid w:val="00C5457D"/>
    <w:rsid w:val="00C7195A"/>
    <w:rsid w:val="00C77035"/>
    <w:rsid w:val="00C84BB8"/>
    <w:rsid w:val="00C86471"/>
    <w:rsid w:val="00CD12BC"/>
    <w:rsid w:val="00D02E71"/>
    <w:rsid w:val="00D04EBC"/>
    <w:rsid w:val="00D129AD"/>
    <w:rsid w:val="00D3011A"/>
    <w:rsid w:val="00D32BBD"/>
    <w:rsid w:val="00D67482"/>
    <w:rsid w:val="00D9057A"/>
    <w:rsid w:val="00DA1B53"/>
    <w:rsid w:val="00DD7DDC"/>
    <w:rsid w:val="00DE480F"/>
    <w:rsid w:val="00E17E73"/>
    <w:rsid w:val="00E478A8"/>
    <w:rsid w:val="00E74790"/>
    <w:rsid w:val="00E77187"/>
    <w:rsid w:val="00EB60F6"/>
    <w:rsid w:val="00EE2160"/>
    <w:rsid w:val="00EF2CF6"/>
    <w:rsid w:val="00F14F89"/>
    <w:rsid w:val="00F3364D"/>
    <w:rsid w:val="00F33BB0"/>
    <w:rsid w:val="00F40FD3"/>
    <w:rsid w:val="00F5688F"/>
    <w:rsid w:val="00F80390"/>
    <w:rsid w:val="00F964B3"/>
    <w:rsid w:val="00FC1486"/>
    <w:rsid w:val="00FD276F"/>
    <w:rsid w:val="00FE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B0"/>
    <w:rPr>
      <w:sz w:val="24"/>
      <w:szCs w:val="24"/>
      <w:lang w:eastAsia="ru-RU"/>
    </w:rPr>
  </w:style>
  <w:style w:type="paragraph" w:styleId="1">
    <w:name w:val="heading 1"/>
    <w:basedOn w:val="a"/>
    <w:next w:val="a"/>
    <w:link w:val="10"/>
    <w:qFormat/>
    <w:rsid w:val="00CD12BC"/>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маркированный,Обычный Перечисление по ГОСТу,Абзац списка2"/>
    <w:basedOn w:val="a"/>
    <w:link w:val="a3"/>
    <w:qFormat/>
    <w:rsid w:val="00CD12BC"/>
    <w:pPr>
      <w:spacing w:after="200" w:line="276" w:lineRule="auto"/>
      <w:ind w:left="720"/>
      <w:contextualSpacing/>
    </w:pPr>
    <w:rPr>
      <w:rFonts w:ascii="Calibri" w:eastAsia="Calibri" w:hAnsi="Calibri"/>
      <w:sz w:val="22"/>
      <w:szCs w:val="22"/>
      <w:lang w:eastAsia="en-US"/>
    </w:rPr>
  </w:style>
  <w:style w:type="character" w:customStyle="1" w:styleId="a3">
    <w:name w:val="Абзац списка Знак"/>
    <w:aliases w:val="маркированный Знак,Обычный Перечисление по ГОСТу Знак,Абзац списка1 Знак"/>
    <w:link w:val="11"/>
    <w:locked/>
    <w:rsid w:val="00CD12BC"/>
    <w:rPr>
      <w:rFonts w:ascii="Calibri" w:eastAsia="Calibri" w:hAnsi="Calibri"/>
      <w:sz w:val="22"/>
      <w:szCs w:val="22"/>
    </w:rPr>
  </w:style>
  <w:style w:type="paragraph" w:customStyle="1" w:styleId="111111111111111111111111111111111111111111111111111111111">
    <w:name w:val="111111111111111111111111111111111111111111111111111111111"/>
    <w:basedOn w:val="a"/>
    <w:qFormat/>
    <w:rsid w:val="00CD12BC"/>
    <w:pPr>
      <w:spacing w:after="120"/>
      <w:ind w:firstLine="709"/>
      <w:jc w:val="both"/>
    </w:pPr>
    <w:rPr>
      <w:sz w:val="28"/>
      <w:szCs w:val="28"/>
      <w:lang w:eastAsia="ar-SA"/>
    </w:rPr>
  </w:style>
  <w:style w:type="character" w:customStyle="1" w:styleId="10">
    <w:name w:val="Заголовок 1 Знак"/>
    <w:link w:val="1"/>
    <w:rsid w:val="00CD12BC"/>
    <w:rPr>
      <w:rFonts w:ascii="Cambria" w:hAnsi="Cambria"/>
      <w:b/>
      <w:bCs/>
      <w:kern w:val="32"/>
      <w:sz w:val="32"/>
      <w:szCs w:val="32"/>
    </w:rPr>
  </w:style>
  <w:style w:type="paragraph" w:styleId="12">
    <w:name w:val="toc 1"/>
    <w:basedOn w:val="a"/>
    <w:next w:val="a"/>
    <w:autoRedefine/>
    <w:uiPriority w:val="39"/>
    <w:unhideWhenUsed/>
    <w:qFormat/>
    <w:rsid w:val="00CD12BC"/>
    <w:pPr>
      <w:spacing w:after="100" w:line="276" w:lineRule="auto"/>
    </w:pPr>
    <w:rPr>
      <w:rFonts w:ascii="Calibri" w:hAnsi="Calibri"/>
      <w:sz w:val="22"/>
      <w:szCs w:val="22"/>
    </w:rPr>
  </w:style>
  <w:style w:type="paragraph" w:styleId="2">
    <w:name w:val="toc 2"/>
    <w:basedOn w:val="a"/>
    <w:next w:val="a"/>
    <w:autoRedefine/>
    <w:uiPriority w:val="39"/>
    <w:unhideWhenUsed/>
    <w:qFormat/>
    <w:rsid w:val="00CD12BC"/>
    <w:pPr>
      <w:spacing w:after="100" w:line="276" w:lineRule="auto"/>
      <w:ind w:left="220"/>
    </w:pPr>
    <w:rPr>
      <w:rFonts w:ascii="Calibri" w:hAnsi="Calibri"/>
      <w:sz w:val="22"/>
      <w:szCs w:val="22"/>
    </w:rPr>
  </w:style>
  <w:style w:type="paragraph" w:styleId="3">
    <w:name w:val="toc 3"/>
    <w:basedOn w:val="a"/>
    <w:next w:val="a"/>
    <w:autoRedefine/>
    <w:uiPriority w:val="39"/>
    <w:unhideWhenUsed/>
    <w:qFormat/>
    <w:rsid w:val="00CD12BC"/>
    <w:pPr>
      <w:spacing w:after="100" w:line="276" w:lineRule="auto"/>
      <w:ind w:left="440"/>
    </w:pPr>
    <w:rPr>
      <w:rFonts w:ascii="Calibri" w:hAnsi="Calibri"/>
      <w:sz w:val="22"/>
      <w:szCs w:val="22"/>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3"/>
    <w:uiPriority w:val="99"/>
    <w:qFormat/>
    <w:rsid w:val="00CD12BC"/>
    <w:pPr>
      <w:spacing w:before="100" w:beforeAutospacing="1" w:after="100" w:afterAutospacing="1"/>
    </w:pPr>
    <w:rPr>
      <w:rFonts w:ascii="Calibri" w:hAnsi="Calibri"/>
      <w:lang w:val="x-none" w:eastAsia="x-none"/>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CD12BC"/>
    <w:rPr>
      <w:rFonts w:ascii="Calibri" w:hAnsi="Calibri"/>
      <w:sz w:val="24"/>
      <w:szCs w:val="24"/>
      <w:lang w:val="x-none" w:eastAsia="x-none"/>
    </w:rPr>
  </w:style>
  <w:style w:type="paragraph" w:styleId="a5">
    <w:name w:val="No Spacing"/>
    <w:link w:val="a6"/>
    <w:uiPriority w:val="1"/>
    <w:qFormat/>
    <w:rsid w:val="00CD12BC"/>
    <w:rPr>
      <w:rFonts w:ascii="Calibri" w:eastAsia="Calibri" w:hAnsi="Calibri"/>
      <w:sz w:val="22"/>
      <w:szCs w:val="22"/>
    </w:rPr>
  </w:style>
  <w:style w:type="character" w:customStyle="1" w:styleId="a6">
    <w:name w:val="Без интервала Знак"/>
    <w:link w:val="a5"/>
    <w:uiPriority w:val="1"/>
    <w:locked/>
    <w:rsid w:val="00CD12BC"/>
    <w:rPr>
      <w:rFonts w:ascii="Calibri" w:eastAsia="Calibri" w:hAnsi="Calibri"/>
      <w:sz w:val="22"/>
      <w:szCs w:val="22"/>
    </w:rPr>
  </w:style>
  <w:style w:type="paragraph" w:styleId="a7">
    <w:name w:val="TOC Heading"/>
    <w:basedOn w:val="1"/>
    <w:next w:val="a"/>
    <w:uiPriority w:val="39"/>
    <w:qFormat/>
    <w:rsid w:val="00CD12BC"/>
    <w:pPr>
      <w:keepLines/>
      <w:spacing w:before="480" w:after="0" w:line="276" w:lineRule="auto"/>
      <w:outlineLvl w:val="9"/>
    </w:pPr>
    <w:rPr>
      <w:color w:val="365F91"/>
      <w:kern w:val="0"/>
      <w:sz w:val="28"/>
      <w:szCs w:val="28"/>
      <w:lang w:val="x-none" w:eastAsia="x-none"/>
    </w:rPr>
  </w:style>
  <w:style w:type="paragraph" w:styleId="20">
    <w:name w:val="Body Text Indent 2"/>
    <w:basedOn w:val="a"/>
    <w:link w:val="21"/>
    <w:rsid w:val="00F33BB0"/>
    <w:pPr>
      <w:spacing w:line="233" w:lineRule="auto"/>
      <w:ind w:firstLine="709"/>
      <w:jc w:val="both"/>
    </w:pPr>
    <w:rPr>
      <w:color w:val="000000"/>
      <w:lang w:val="x-none" w:eastAsia="x-none"/>
    </w:rPr>
  </w:style>
  <w:style w:type="character" w:customStyle="1" w:styleId="21">
    <w:name w:val="Основной текст с отступом 2 Знак"/>
    <w:basedOn w:val="a0"/>
    <w:link w:val="20"/>
    <w:rsid w:val="00F33BB0"/>
    <w:rPr>
      <w:color w:val="000000"/>
      <w:sz w:val="24"/>
      <w:szCs w:val="24"/>
      <w:lang w:val="x-none" w:eastAsia="x-none"/>
    </w:rPr>
  </w:style>
  <w:style w:type="paragraph" w:styleId="a8">
    <w:name w:val="Balloon Text"/>
    <w:basedOn w:val="a"/>
    <w:link w:val="a9"/>
    <w:uiPriority w:val="99"/>
    <w:semiHidden/>
    <w:unhideWhenUsed/>
    <w:rsid w:val="00F33BB0"/>
    <w:rPr>
      <w:rFonts w:ascii="Tahoma" w:hAnsi="Tahoma" w:cs="Tahoma"/>
      <w:sz w:val="16"/>
      <w:szCs w:val="16"/>
    </w:rPr>
  </w:style>
  <w:style w:type="character" w:customStyle="1" w:styleId="a9">
    <w:name w:val="Текст выноски Знак"/>
    <w:basedOn w:val="a0"/>
    <w:link w:val="a8"/>
    <w:uiPriority w:val="99"/>
    <w:semiHidden/>
    <w:rsid w:val="00F33BB0"/>
    <w:rPr>
      <w:rFonts w:ascii="Tahoma" w:hAnsi="Tahoma" w:cs="Tahoma"/>
      <w:sz w:val="16"/>
      <w:szCs w:val="16"/>
      <w:lang w:eastAsia="ru-RU"/>
    </w:rPr>
  </w:style>
  <w:style w:type="paragraph" w:styleId="aa">
    <w:name w:val="header"/>
    <w:basedOn w:val="a"/>
    <w:link w:val="ab"/>
    <w:uiPriority w:val="99"/>
    <w:unhideWhenUsed/>
    <w:rsid w:val="00F33BB0"/>
    <w:pPr>
      <w:tabs>
        <w:tab w:val="center" w:pos="4677"/>
        <w:tab w:val="right" w:pos="9355"/>
      </w:tabs>
    </w:pPr>
  </w:style>
  <w:style w:type="character" w:customStyle="1" w:styleId="ab">
    <w:name w:val="Верхний колонтитул Знак"/>
    <w:basedOn w:val="a0"/>
    <w:link w:val="aa"/>
    <w:uiPriority w:val="99"/>
    <w:rsid w:val="00F33BB0"/>
    <w:rPr>
      <w:sz w:val="24"/>
      <w:szCs w:val="24"/>
      <w:lang w:eastAsia="ru-RU"/>
    </w:rPr>
  </w:style>
  <w:style w:type="paragraph" w:styleId="ac">
    <w:name w:val="footer"/>
    <w:basedOn w:val="a"/>
    <w:link w:val="ad"/>
    <w:uiPriority w:val="99"/>
    <w:unhideWhenUsed/>
    <w:rsid w:val="00F33BB0"/>
    <w:pPr>
      <w:tabs>
        <w:tab w:val="center" w:pos="4677"/>
        <w:tab w:val="right" w:pos="9355"/>
      </w:tabs>
    </w:pPr>
  </w:style>
  <w:style w:type="character" w:customStyle="1" w:styleId="ad">
    <w:name w:val="Нижний колонтитул Знак"/>
    <w:basedOn w:val="a0"/>
    <w:link w:val="ac"/>
    <w:uiPriority w:val="99"/>
    <w:rsid w:val="00F33BB0"/>
    <w:rPr>
      <w:sz w:val="24"/>
      <w:szCs w:val="24"/>
      <w:lang w:eastAsia="ru-RU"/>
    </w:rPr>
  </w:style>
  <w:style w:type="paragraph" w:styleId="ae">
    <w:name w:val="Body Text Indent"/>
    <w:basedOn w:val="a"/>
    <w:link w:val="af"/>
    <w:uiPriority w:val="99"/>
    <w:semiHidden/>
    <w:unhideWhenUsed/>
    <w:rsid w:val="003D72E1"/>
    <w:pPr>
      <w:spacing w:after="120"/>
      <w:ind w:left="283"/>
    </w:pPr>
  </w:style>
  <w:style w:type="character" w:customStyle="1" w:styleId="af">
    <w:name w:val="Основной текст с отступом Знак"/>
    <w:basedOn w:val="a0"/>
    <w:link w:val="ae"/>
    <w:uiPriority w:val="99"/>
    <w:semiHidden/>
    <w:rsid w:val="003D72E1"/>
    <w:rPr>
      <w:sz w:val="24"/>
      <w:szCs w:val="24"/>
      <w:lang w:eastAsia="ru-RU"/>
    </w:rPr>
  </w:style>
  <w:style w:type="paragraph" w:customStyle="1" w:styleId="af0">
    <w:name w:val="Заголовок таблицы"/>
    <w:basedOn w:val="a"/>
    <w:rsid w:val="00034FBB"/>
    <w:pPr>
      <w:jc w:val="center"/>
    </w:pPr>
    <w:rPr>
      <w:b/>
      <w:caps/>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B0"/>
    <w:rPr>
      <w:sz w:val="24"/>
      <w:szCs w:val="24"/>
      <w:lang w:eastAsia="ru-RU"/>
    </w:rPr>
  </w:style>
  <w:style w:type="paragraph" w:styleId="1">
    <w:name w:val="heading 1"/>
    <w:basedOn w:val="a"/>
    <w:next w:val="a"/>
    <w:link w:val="10"/>
    <w:qFormat/>
    <w:rsid w:val="00CD12BC"/>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маркированный,Обычный Перечисление по ГОСТу,Абзац списка2"/>
    <w:basedOn w:val="a"/>
    <w:link w:val="a3"/>
    <w:qFormat/>
    <w:rsid w:val="00CD12BC"/>
    <w:pPr>
      <w:spacing w:after="200" w:line="276" w:lineRule="auto"/>
      <w:ind w:left="720"/>
      <w:contextualSpacing/>
    </w:pPr>
    <w:rPr>
      <w:rFonts w:ascii="Calibri" w:eastAsia="Calibri" w:hAnsi="Calibri"/>
      <w:sz w:val="22"/>
      <w:szCs w:val="22"/>
      <w:lang w:eastAsia="en-US"/>
    </w:rPr>
  </w:style>
  <w:style w:type="character" w:customStyle="1" w:styleId="a3">
    <w:name w:val="Абзац списка Знак"/>
    <w:aliases w:val="маркированный Знак,Обычный Перечисление по ГОСТу Знак,Абзац списка1 Знак"/>
    <w:link w:val="11"/>
    <w:locked/>
    <w:rsid w:val="00CD12BC"/>
    <w:rPr>
      <w:rFonts w:ascii="Calibri" w:eastAsia="Calibri" w:hAnsi="Calibri"/>
      <w:sz w:val="22"/>
      <w:szCs w:val="22"/>
    </w:rPr>
  </w:style>
  <w:style w:type="paragraph" w:customStyle="1" w:styleId="111111111111111111111111111111111111111111111111111111111">
    <w:name w:val="111111111111111111111111111111111111111111111111111111111"/>
    <w:basedOn w:val="a"/>
    <w:qFormat/>
    <w:rsid w:val="00CD12BC"/>
    <w:pPr>
      <w:spacing w:after="120"/>
      <w:ind w:firstLine="709"/>
      <w:jc w:val="both"/>
    </w:pPr>
    <w:rPr>
      <w:sz w:val="28"/>
      <w:szCs w:val="28"/>
      <w:lang w:eastAsia="ar-SA"/>
    </w:rPr>
  </w:style>
  <w:style w:type="character" w:customStyle="1" w:styleId="10">
    <w:name w:val="Заголовок 1 Знак"/>
    <w:link w:val="1"/>
    <w:rsid w:val="00CD12BC"/>
    <w:rPr>
      <w:rFonts w:ascii="Cambria" w:hAnsi="Cambria"/>
      <w:b/>
      <w:bCs/>
      <w:kern w:val="32"/>
      <w:sz w:val="32"/>
      <w:szCs w:val="32"/>
    </w:rPr>
  </w:style>
  <w:style w:type="paragraph" w:styleId="12">
    <w:name w:val="toc 1"/>
    <w:basedOn w:val="a"/>
    <w:next w:val="a"/>
    <w:autoRedefine/>
    <w:uiPriority w:val="39"/>
    <w:unhideWhenUsed/>
    <w:qFormat/>
    <w:rsid w:val="00CD12BC"/>
    <w:pPr>
      <w:spacing w:after="100" w:line="276" w:lineRule="auto"/>
    </w:pPr>
    <w:rPr>
      <w:rFonts w:ascii="Calibri" w:hAnsi="Calibri"/>
      <w:sz w:val="22"/>
      <w:szCs w:val="22"/>
    </w:rPr>
  </w:style>
  <w:style w:type="paragraph" w:styleId="2">
    <w:name w:val="toc 2"/>
    <w:basedOn w:val="a"/>
    <w:next w:val="a"/>
    <w:autoRedefine/>
    <w:uiPriority w:val="39"/>
    <w:unhideWhenUsed/>
    <w:qFormat/>
    <w:rsid w:val="00CD12BC"/>
    <w:pPr>
      <w:spacing w:after="100" w:line="276" w:lineRule="auto"/>
      <w:ind w:left="220"/>
    </w:pPr>
    <w:rPr>
      <w:rFonts w:ascii="Calibri" w:hAnsi="Calibri"/>
      <w:sz w:val="22"/>
      <w:szCs w:val="22"/>
    </w:rPr>
  </w:style>
  <w:style w:type="paragraph" w:styleId="3">
    <w:name w:val="toc 3"/>
    <w:basedOn w:val="a"/>
    <w:next w:val="a"/>
    <w:autoRedefine/>
    <w:uiPriority w:val="39"/>
    <w:unhideWhenUsed/>
    <w:qFormat/>
    <w:rsid w:val="00CD12BC"/>
    <w:pPr>
      <w:spacing w:after="100" w:line="276" w:lineRule="auto"/>
      <w:ind w:left="440"/>
    </w:pPr>
    <w:rPr>
      <w:rFonts w:ascii="Calibri" w:hAnsi="Calibri"/>
      <w:sz w:val="22"/>
      <w:szCs w:val="22"/>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3"/>
    <w:uiPriority w:val="99"/>
    <w:qFormat/>
    <w:rsid w:val="00CD12BC"/>
    <w:pPr>
      <w:spacing w:before="100" w:beforeAutospacing="1" w:after="100" w:afterAutospacing="1"/>
    </w:pPr>
    <w:rPr>
      <w:rFonts w:ascii="Calibri" w:hAnsi="Calibri"/>
      <w:lang w:val="x-none" w:eastAsia="x-none"/>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CD12BC"/>
    <w:rPr>
      <w:rFonts w:ascii="Calibri" w:hAnsi="Calibri"/>
      <w:sz w:val="24"/>
      <w:szCs w:val="24"/>
      <w:lang w:val="x-none" w:eastAsia="x-none"/>
    </w:rPr>
  </w:style>
  <w:style w:type="paragraph" w:styleId="a5">
    <w:name w:val="No Spacing"/>
    <w:link w:val="a6"/>
    <w:uiPriority w:val="1"/>
    <w:qFormat/>
    <w:rsid w:val="00CD12BC"/>
    <w:rPr>
      <w:rFonts w:ascii="Calibri" w:eastAsia="Calibri" w:hAnsi="Calibri"/>
      <w:sz w:val="22"/>
      <w:szCs w:val="22"/>
    </w:rPr>
  </w:style>
  <w:style w:type="character" w:customStyle="1" w:styleId="a6">
    <w:name w:val="Без интервала Знак"/>
    <w:link w:val="a5"/>
    <w:uiPriority w:val="1"/>
    <w:locked/>
    <w:rsid w:val="00CD12BC"/>
    <w:rPr>
      <w:rFonts w:ascii="Calibri" w:eastAsia="Calibri" w:hAnsi="Calibri"/>
      <w:sz w:val="22"/>
      <w:szCs w:val="22"/>
    </w:rPr>
  </w:style>
  <w:style w:type="paragraph" w:styleId="a7">
    <w:name w:val="TOC Heading"/>
    <w:basedOn w:val="1"/>
    <w:next w:val="a"/>
    <w:uiPriority w:val="39"/>
    <w:qFormat/>
    <w:rsid w:val="00CD12BC"/>
    <w:pPr>
      <w:keepLines/>
      <w:spacing w:before="480" w:after="0" w:line="276" w:lineRule="auto"/>
      <w:outlineLvl w:val="9"/>
    </w:pPr>
    <w:rPr>
      <w:color w:val="365F91"/>
      <w:kern w:val="0"/>
      <w:sz w:val="28"/>
      <w:szCs w:val="28"/>
      <w:lang w:val="x-none" w:eastAsia="x-none"/>
    </w:rPr>
  </w:style>
  <w:style w:type="paragraph" w:styleId="20">
    <w:name w:val="Body Text Indent 2"/>
    <w:basedOn w:val="a"/>
    <w:link w:val="21"/>
    <w:rsid w:val="00F33BB0"/>
    <w:pPr>
      <w:spacing w:line="233" w:lineRule="auto"/>
      <w:ind w:firstLine="709"/>
      <w:jc w:val="both"/>
    </w:pPr>
    <w:rPr>
      <w:color w:val="000000"/>
      <w:lang w:val="x-none" w:eastAsia="x-none"/>
    </w:rPr>
  </w:style>
  <w:style w:type="character" w:customStyle="1" w:styleId="21">
    <w:name w:val="Основной текст с отступом 2 Знак"/>
    <w:basedOn w:val="a0"/>
    <w:link w:val="20"/>
    <w:rsid w:val="00F33BB0"/>
    <w:rPr>
      <w:color w:val="000000"/>
      <w:sz w:val="24"/>
      <w:szCs w:val="24"/>
      <w:lang w:val="x-none" w:eastAsia="x-none"/>
    </w:rPr>
  </w:style>
  <w:style w:type="paragraph" w:styleId="a8">
    <w:name w:val="Balloon Text"/>
    <w:basedOn w:val="a"/>
    <w:link w:val="a9"/>
    <w:uiPriority w:val="99"/>
    <w:semiHidden/>
    <w:unhideWhenUsed/>
    <w:rsid w:val="00F33BB0"/>
    <w:rPr>
      <w:rFonts w:ascii="Tahoma" w:hAnsi="Tahoma" w:cs="Tahoma"/>
      <w:sz w:val="16"/>
      <w:szCs w:val="16"/>
    </w:rPr>
  </w:style>
  <w:style w:type="character" w:customStyle="1" w:styleId="a9">
    <w:name w:val="Текст выноски Знак"/>
    <w:basedOn w:val="a0"/>
    <w:link w:val="a8"/>
    <w:uiPriority w:val="99"/>
    <w:semiHidden/>
    <w:rsid w:val="00F33BB0"/>
    <w:rPr>
      <w:rFonts w:ascii="Tahoma" w:hAnsi="Tahoma" w:cs="Tahoma"/>
      <w:sz w:val="16"/>
      <w:szCs w:val="16"/>
      <w:lang w:eastAsia="ru-RU"/>
    </w:rPr>
  </w:style>
  <w:style w:type="paragraph" w:styleId="aa">
    <w:name w:val="header"/>
    <w:basedOn w:val="a"/>
    <w:link w:val="ab"/>
    <w:uiPriority w:val="99"/>
    <w:unhideWhenUsed/>
    <w:rsid w:val="00F33BB0"/>
    <w:pPr>
      <w:tabs>
        <w:tab w:val="center" w:pos="4677"/>
        <w:tab w:val="right" w:pos="9355"/>
      </w:tabs>
    </w:pPr>
  </w:style>
  <w:style w:type="character" w:customStyle="1" w:styleId="ab">
    <w:name w:val="Верхний колонтитул Знак"/>
    <w:basedOn w:val="a0"/>
    <w:link w:val="aa"/>
    <w:uiPriority w:val="99"/>
    <w:rsid w:val="00F33BB0"/>
    <w:rPr>
      <w:sz w:val="24"/>
      <w:szCs w:val="24"/>
      <w:lang w:eastAsia="ru-RU"/>
    </w:rPr>
  </w:style>
  <w:style w:type="paragraph" w:styleId="ac">
    <w:name w:val="footer"/>
    <w:basedOn w:val="a"/>
    <w:link w:val="ad"/>
    <w:uiPriority w:val="99"/>
    <w:unhideWhenUsed/>
    <w:rsid w:val="00F33BB0"/>
    <w:pPr>
      <w:tabs>
        <w:tab w:val="center" w:pos="4677"/>
        <w:tab w:val="right" w:pos="9355"/>
      </w:tabs>
    </w:pPr>
  </w:style>
  <w:style w:type="character" w:customStyle="1" w:styleId="ad">
    <w:name w:val="Нижний колонтитул Знак"/>
    <w:basedOn w:val="a0"/>
    <w:link w:val="ac"/>
    <w:uiPriority w:val="99"/>
    <w:rsid w:val="00F33BB0"/>
    <w:rPr>
      <w:sz w:val="24"/>
      <w:szCs w:val="24"/>
      <w:lang w:eastAsia="ru-RU"/>
    </w:rPr>
  </w:style>
  <w:style w:type="paragraph" w:styleId="ae">
    <w:name w:val="Body Text Indent"/>
    <w:basedOn w:val="a"/>
    <w:link w:val="af"/>
    <w:uiPriority w:val="99"/>
    <w:semiHidden/>
    <w:unhideWhenUsed/>
    <w:rsid w:val="003D72E1"/>
    <w:pPr>
      <w:spacing w:after="120"/>
      <w:ind w:left="283"/>
    </w:pPr>
  </w:style>
  <w:style w:type="character" w:customStyle="1" w:styleId="af">
    <w:name w:val="Основной текст с отступом Знак"/>
    <w:basedOn w:val="a0"/>
    <w:link w:val="ae"/>
    <w:uiPriority w:val="99"/>
    <w:semiHidden/>
    <w:rsid w:val="003D72E1"/>
    <w:rPr>
      <w:sz w:val="24"/>
      <w:szCs w:val="24"/>
      <w:lang w:eastAsia="ru-RU"/>
    </w:rPr>
  </w:style>
  <w:style w:type="paragraph" w:customStyle="1" w:styleId="af0">
    <w:name w:val="Заголовок таблицы"/>
    <w:basedOn w:val="a"/>
    <w:rsid w:val="00034FBB"/>
    <w:pPr>
      <w:jc w:val="center"/>
    </w:pPr>
    <w:rPr>
      <w:b/>
      <w:caps/>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45"/>
      <c:rAngAx val="0"/>
      <c:perspective val="0"/>
    </c:view3D>
    <c:floor>
      <c:thickness val="0"/>
    </c:floor>
    <c:sideWall>
      <c:thickness val="0"/>
    </c:sideWall>
    <c:backWall>
      <c:thickness val="0"/>
    </c:backWall>
    <c:plotArea>
      <c:layout>
        <c:manualLayout>
          <c:layoutTarget val="inner"/>
          <c:xMode val="edge"/>
          <c:yMode val="edge"/>
          <c:x val="0.10236220472440945"/>
          <c:y val="0.15566037735849056"/>
          <c:w val="0.82939632545931763"/>
          <c:h val="0.589622641509434"/>
        </c:manualLayout>
      </c:layout>
      <c:pie3DChart>
        <c:varyColors val="1"/>
        <c:dLbls>
          <c:dLblPos val="outEnd"/>
          <c:showLegendKey val="0"/>
          <c:showVal val="1"/>
          <c:showCatName val="0"/>
          <c:showSerName val="0"/>
          <c:showPercent val="0"/>
          <c:showBubbleSize val="0"/>
          <c:showLeaderLines val="0"/>
        </c:dLbls>
      </c:pie3DChart>
      <c:spPr>
        <a:noFill/>
        <a:ln w="25400">
          <a:noFill/>
        </a:ln>
      </c:spPr>
    </c:plotArea>
    <c:plotVisOnly val="1"/>
    <c:dispBlanksAs val="zero"/>
    <c:showDLblsOverMax val="0"/>
  </c:chart>
  <c:spPr>
    <a:noFill/>
    <a:ln>
      <a:noFill/>
    </a:ln>
  </c:spPr>
  <c:txPr>
    <a:bodyPr/>
    <a:lstStyle/>
    <a:p>
      <a:pPr>
        <a:defRPr sz="1151" b="1" i="0" u="none" strike="noStrike" baseline="0">
          <a:solidFill>
            <a:srgbClr val="000000"/>
          </a:solidFill>
          <a:latin typeface="Arial"/>
          <a:ea typeface="Arial"/>
          <a:cs typeface="Arial"/>
        </a:defRPr>
      </a:pPr>
      <a:endParaRPr lang="ru-RU"/>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295238" cy="2695238"/>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economy20 (Кузнецова М.Н.)</dc:creator>
  <cp:lastModifiedBy>economy68 (Чернова Е.Н.)</cp:lastModifiedBy>
  <cp:revision>2</cp:revision>
  <dcterms:created xsi:type="dcterms:W3CDTF">2020-05-08T12:41:00Z</dcterms:created>
  <dcterms:modified xsi:type="dcterms:W3CDTF">2020-05-08T12:41:00Z</dcterms:modified>
</cp:coreProperties>
</file>