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FAD" w:rsidRPr="00470CD5" w:rsidRDefault="00134FAD" w:rsidP="00134FAD">
      <w:pPr>
        <w:jc w:val="center"/>
        <w:rPr>
          <w:b/>
          <w:bCs/>
          <w:color w:val="000000"/>
          <w:sz w:val="28"/>
        </w:rPr>
      </w:pPr>
      <w:r w:rsidRPr="00470CD5">
        <w:rPr>
          <w:b/>
          <w:bCs/>
          <w:color w:val="000000"/>
          <w:sz w:val="28"/>
        </w:rPr>
        <w:t>Инвестиционная деятельность</w:t>
      </w:r>
    </w:p>
    <w:p w:rsidR="00134FAD" w:rsidRDefault="00134FAD" w:rsidP="00134FAD">
      <w:pPr>
        <w:ind w:right="57" w:firstLine="709"/>
        <w:jc w:val="both"/>
        <w:rPr>
          <w:bCs/>
          <w:color w:val="000000"/>
        </w:rPr>
      </w:pPr>
    </w:p>
    <w:p w:rsidR="00523DBF" w:rsidRDefault="00523DBF" w:rsidP="006A11E3">
      <w:pPr>
        <w:ind w:firstLine="709"/>
        <w:jc w:val="both"/>
      </w:pPr>
      <w:r>
        <w:rPr>
          <w:b/>
        </w:rPr>
        <w:t>Объем инвестиций в основной капитал</w:t>
      </w:r>
      <w:r>
        <w:t xml:space="preserve"> за счет всех источников финансирования за 2019 г. составил 63,6 млрд. рублей, или 105,7% (по России – 101,7%) к уровню 2018 г. (в сопоставимых ценах). </w:t>
      </w:r>
    </w:p>
    <w:p w:rsidR="00523DBF" w:rsidRDefault="00523DBF" w:rsidP="00523DBF">
      <w:pPr>
        <w:ind w:firstLine="708"/>
        <w:jc w:val="both"/>
        <w:rPr>
          <w:highlight w:val="yellow"/>
        </w:rPr>
      </w:pPr>
      <w:r>
        <w:t xml:space="preserve">На строительство, расширение, </w:t>
      </w:r>
      <w:proofErr w:type="spellStart"/>
      <w:r>
        <w:t>техперевооружение</w:t>
      </w:r>
      <w:proofErr w:type="spellEnd"/>
      <w:r>
        <w:t xml:space="preserve"> и реконструкцию жилых зданий и помещений в 2019 г. было направлено 14,7 млрд. рублей (26,1% от общего объема инвестиций), зданий (кроме жилых) и сооружений, на улучшение земель – 23,4 млрд. рублей (36,7%), на приобретение машин, оборудования, включая хозяйственный инвентарь и другие объекты – 23,6 млрд. рублей (37,1%), объекты интеллектуальной собственности – 1,5 млрд. рублей (2,3%) и на возмещение прочих затрат – 0,5 млрд. рублей (0,8%).</w:t>
      </w:r>
    </w:p>
    <w:p w:rsidR="00192AB6" w:rsidRDefault="00192AB6" w:rsidP="00192AB6">
      <w:pPr>
        <w:ind w:firstLine="709"/>
        <w:jc w:val="both"/>
      </w:pPr>
      <w:r>
        <w:t>Из общего объема инвестиций в основной капитал 40,0 млрд. рублей (62,9% к уровню 2018 г.) приходилось на долю организаций, не относящихся к субъектам малого предпринимательства.</w:t>
      </w:r>
    </w:p>
    <w:p w:rsidR="00134FAD" w:rsidRPr="00C1586B" w:rsidRDefault="00134FAD" w:rsidP="00523DBF">
      <w:pPr>
        <w:shd w:val="clear" w:color="auto" w:fill="FFFFFF"/>
        <w:autoSpaceDE w:val="0"/>
        <w:autoSpaceDN w:val="0"/>
        <w:ind w:firstLine="708"/>
        <w:jc w:val="both"/>
      </w:pPr>
      <w:r w:rsidRPr="00C1586B">
        <w:t xml:space="preserve">Структура инвестиций в основной капитал по источникам финансирования </w:t>
      </w:r>
      <w:r w:rsidR="000A745C">
        <w:t xml:space="preserve">за          </w:t>
      </w:r>
      <w:r w:rsidR="00523DBF">
        <w:t>2019 год</w:t>
      </w:r>
      <w:r w:rsidR="000A745C">
        <w:t xml:space="preserve"> </w:t>
      </w:r>
      <w:r w:rsidR="000A745C" w:rsidRPr="000A745C">
        <w:t>(без субъектов малого предпринимательства и объема инвестиций, не наблюдаемых прямыми статистическими методами)</w:t>
      </w:r>
      <w:r w:rsidRPr="00C1586B">
        <w:t>, приводится в таблице:</w:t>
      </w:r>
    </w:p>
    <w:p w:rsidR="00134FAD" w:rsidRPr="00F45438" w:rsidRDefault="00134FAD" w:rsidP="00134FAD">
      <w:pPr>
        <w:ind w:firstLine="720"/>
        <w:jc w:val="both"/>
      </w:pPr>
    </w:p>
    <w:tbl>
      <w:tblPr>
        <w:tblW w:w="935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3"/>
        <w:gridCol w:w="2410"/>
      </w:tblGrid>
      <w:tr w:rsidR="00134FAD" w:rsidRPr="00EC1DDA" w:rsidTr="00BA69DE">
        <w:trPr>
          <w:trHeight w:val="511"/>
          <w:tblHeader/>
        </w:trPr>
        <w:tc>
          <w:tcPr>
            <w:tcW w:w="6943" w:type="dxa"/>
          </w:tcPr>
          <w:p w:rsidR="00134FAD" w:rsidRPr="00236D61" w:rsidRDefault="00134FAD" w:rsidP="00BA69DE">
            <w:pPr>
              <w:spacing w:before="80" w:after="80" w:line="192" w:lineRule="auto"/>
              <w:jc w:val="center"/>
              <w:rPr>
                <w:i/>
                <w:sz w:val="20"/>
                <w:szCs w:val="22"/>
              </w:rPr>
            </w:pPr>
          </w:p>
        </w:tc>
        <w:tc>
          <w:tcPr>
            <w:tcW w:w="2410" w:type="dxa"/>
          </w:tcPr>
          <w:p w:rsidR="00C760DA" w:rsidRDefault="00C760DA" w:rsidP="00BA69DE">
            <w:pPr>
              <w:spacing w:before="80" w:after="80" w:line="192" w:lineRule="auto"/>
              <w:jc w:val="center"/>
              <w:rPr>
                <w:sz w:val="20"/>
                <w:szCs w:val="22"/>
              </w:rPr>
            </w:pPr>
            <w:r>
              <w:rPr>
                <w:sz w:val="20"/>
                <w:szCs w:val="22"/>
              </w:rPr>
              <w:t>2019 г.</w:t>
            </w:r>
          </w:p>
          <w:p w:rsidR="00134FAD" w:rsidRPr="00236D61" w:rsidRDefault="00134FAD" w:rsidP="00C760DA">
            <w:pPr>
              <w:spacing w:before="80" w:after="80" w:line="192" w:lineRule="auto"/>
              <w:jc w:val="center"/>
              <w:rPr>
                <w:sz w:val="20"/>
                <w:szCs w:val="22"/>
              </w:rPr>
            </w:pPr>
            <w:r w:rsidRPr="00236D61">
              <w:rPr>
                <w:sz w:val="20"/>
                <w:szCs w:val="22"/>
              </w:rPr>
              <w:t>в % к итогу</w:t>
            </w:r>
            <w:bookmarkStart w:id="0" w:name="_GoBack"/>
            <w:bookmarkEnd w:id="0"/>
          </w:p>
        </w:tc>
      </w:tr>
      <w:tr w:rsidR="00B14B51" w:rsidRPr="00EC1DDA" w:rsidTr="00BA69DE">
        <w:tc>
          <w:tcPr>
            <w:tcW w:w="6943" w:type="dxa"/>
          </w:tcPr>
          <w:p w:rsidR="00B14B51" w:rsidRPr="00236D61" w:rsidRDefault="00B14B51" w:rsidP="00BA69DE">
            <w:pPr>
              <w:spacing w:before="80" w:line="204" w:lineRule="auto"/>
              <w:ind w:left="142" w:hanging="142"/>
              <w:rPr>
                <w:sz w:val="20"/>
                <w:szCs w:val="22"/>
              </w:rPr>
            </w:pPr>
            <w:r w:rsidRPr="00236D61">
              <w:rPr>
                <w:sz w:val="20"/>
                <w:szCs w:val="22"/>
              </w:rPr>
              <w:t xml:space="preserve">Инвестиции в основной капитал - </w:t>
            </w:r>
            <w:r w:rsidRPr="00236D61">
              <w:rPr>
                <w:bCs/>
                <w:sz w:val="20"/>
                <w:szCs w:val="22"/>
              </w:rPr>
              <w:t>всего</w:t>
            </w:r>
          </w:p>
        </w:tc>
        <w:tc>
          <w:tcPr>
            <w:tcW w:w="2410" w:type="dxa"/>
          </w:tcPr>
          <w:p w:rsidR="00B14B51" w:rsidRPr="00236D61" w:rsidRDefault="00B14B51" w:rsidP="00BA69DE">
            <w:pPr>
              <w:spacing w:before="80" w:line="204" w:lineRule="auto"/>
              <w:jc w:val="center"/>
              <w:rPr>
                <w:sz w:val="20"/>
                <w:szCs w:val="22"/>
              </w:rPr>
            </w:pPr>
            <w:r w:rsidRPr="00236D61">
              <w:rPr>
                <w:sz w:val="20"/>
                <w:szCs w:val="22"/>
              </w:rPr>
              <w:t>100</w:t>
            </w:r>
          </w:p>
        </w:tc>
      </w:tr>
      <w:tr w:rsidR="00B14B51" w:rsidRPr="00EC1DDA" w:rsidTr="00BA69DE">
        <w:tc>
          <w:tcPr>
            <w:tcW w:w="6943" w:type="dxa"/>
          </w:tcPr>
          <w:p w:rsidR="00B14B51" w:rsidRPr="00236D61" w:rsidRDefault="00B14B51" w:rsidP="00BA69DE">
            <w:pPr>
              <w:tabs>
                <w:tab w:val="left" w:pos="284"/>
                <w:tab w:val="left" w:pos="709"/>
              </w:tabs>
              <w:spacing w:before="80" w:line="204" w:lineRule="auto"/>
              <w:ind w:left="426" w:hanging="141"/>
              <w:rPr>
                <w:sz w:val="20"/>
                <w:szCs w:val="22"/>
              </w:rPr>
            </w:pPr>
            <w:r w:rsidRPr="00236D61">
              <w:rPr>
                <w:sz w:val="20"/>
                <w:szCs w:val="22"/>
              </w:rPr>
              <w:t>в том числе по источникам финансирования:</w:t>
            </w:r>
          </w:p>
        </w:tc>
        <w:tc>
          <w:tcPr>
            <w:tcW w:w="2410" w:type="dxa"/>
          </w:tcPr>
          <w:p w:rsidR="00B14B51" w:rsidRPr="00236D61" w:rsidRDefault="00B14B51" w:rsidP="00BA69DE">
            <w:pPr>
              <w:spacing w:before="80" w:line="204" w:lineRule="auto"/>
              <w:jc w:val="center"/>
              <w:rPr>
                <w:sz w:val="20"/>
                <w:szCs w:val="22"/>
              </w:rPr>
            </w:pPr>
          </w:p>
        </w:tc>
      </w:tr>
      <w:tr w:rsidR="00B14B51" w:rsidRPr="00EC1DDA" w:rsidTr="00BA69DE">
        <w:tc>
          <w:tcPr>
            <w:tcW w:w="6943" w:type="dxa"/>
          </w:tcPr>
          <w:p w:rsidR="00B14B51" w:rsidRPr="00236D61" w:rsidRDefault="00B14B51" w:rsidP="00BA69DE">
            <w:pPr>
              <w:spacing w:before="80" w:line="204" w:lineRule="auto"/>
              <w:ind w:left="142"/>
              <w:rPr>
                <w:b/>
                <w:sz w:val="20"/>
                <w:szCs w:val="22"/>
              </w:rPr>
            </w:pPr>
            <w:r w:rsidRPr="00236D61">
              <w:rPr>
                <w:sz w:val="20"/>
                <w:szCs w:val="22"/>
              </w:rPr>
              <w:t>собственные средства</w:t>
            </w:r>
          </w:p>
        </w:tc>
        <w:tc>
          <w:tcPr>
            <w:tcW w:w="2410" w:type="dxa"/>
            <w:vAlign w:val="center"/>
          </w:tcPr>
          <w:p w:rsidR="00B14B51" w:rsidRPr="00236D61" w:rsidRDefault="00192AB6" w:rsidP="00BA69DE">
            <w:pPr>
              <w:spacing w:before="80" w:line="204" w:lineRule="auto"/>
              <w:jc w:val="center"/>
              <w:rPr>
                <w:sz w:val="20"/>
                <w:szCs w:val="22"/>
              </w:rPr>
            </w:pPr>
            <w:r>
              <w:rPr>
                <w:sz w:val="20"/>
                <w:szCs w:val="22"/>
              </w:rPr>
              <w:t>41,8</w:t>
            </w:r>
          </w:p>
        </w:tc>
      </w:tr>
      <w:tr w:rsidR="00B14B51" w:rsidRPr="00EC1DDA" w:rsidTr="00BA69DE">
        <w:tc>
          <w:tcPr>
            <w:tcW w:w="6943" w:type="dxa"/>
          </w:tcPr>
          <w:p w:rsidR="00B14B51" w:rsidRPr="00236D61" w:rsidRDefault="00B14B51" w:rsidP="00BA69DE">
            <w:pPr>
              <w:spacing w:before="80" w:line="204" w:lineRule="auto"/>
              <w:ind w:left="284" w:hanging="142"/>
              <w:rPr>
                <w:sz w:val="20"/>
                <w:szCs w:val="22"/>
              </w:rPr>
            </w:pPr>
            <w:r w:rsidRPr="00236D61">
              <w:rPr>
                <w:sz w:val="20"/>
                <w:szCs w:val="22"/>
              </w:rPr>
              <w:t>привлеченные средства</w:t>
            </w:r>
          </w:p>
        </w:tc>
        <w:tc>
          <w:tcPr>
            <w:tcW w:w="2410" w:type="dxa"/>
            <w:vAlign w:val="center"/>
          </w:tcPr>
          <w:p w:rsidR="00B14B51" w:rsidRPr="00236D61" w:rsidRDefault="00192AB6" w:rsidP="00BA69DE">
            <w:pPr>
              <w:spacing w:before="80" w:line="204" w:lineRule="auto"/>
              <w:jc w:val="center"/>
              <w:rPr>
                <w:sz w:val="20"/>
                <w:szCs w:val="22"/>
              </w:rPr>
            </w:pPr>
            <w:r>
              <w:rPr>
                <w:sz w:val="20"/>
                <w:szCs w:val="22"/>
              </w:rPr>
              <w:t>58,2</w:t>
            </w:r>
          </w:p>
        </w:tc>
      </w:tr>
      <w:tr w:rsidR="00B14B51" w:rsidRPr="00EC1DDA" w:rsidTr="00BA69DE">
        <w:tc>
          <w:tcPr>
            <w:tcW w:w="6943" w:type="dxa"/>
          </w:tcPr>
          <w:p w:rsidR="00B14B51" w:rsidRPr="00236D61" w:rsidRDefault="00B14B51" w:rsidP="00BA69DE">
            <w:pPr>
              <w:spacing w:before="80" w:line="204" w:lineRule="auto"/>
              <w:ind w:left="142" w:firstLine="284"/>
              <w:rPr>
                <w:sz w:val="20"/>
                <w:szCs w:val="22"/>
              </w:rPr>
            </w:pPr>
            <w:r w:rsidRPr="00236D61">
              <w:rPr>
                <w:sz w:val="20"/>
                <w:szCs w:val="22"/>
              </w:rPr>
              <w:t>в том числе:</w:t>
            </w:r>
          </w:p>
        </w:tc>
        <w:tc>
          <w:tcPr>
            <w:tcW w:w="2410" w:type="dxa"/>
            <w:vAlign w:val="bottom"/>
          </w:tcPr>
          <w:p w:rsidR="00B14B51" w:rsidRPr="00236D61" w:rsidRDefault="00B14B51" w:rsidP="00BA69DE">
            <w:pPr>
              <w:spacing w:before="80" w:line="204" w:lineRule="auto"/>
              <w:ind w:firstLine="709"/>
              <w:jc w:val="center"/>
              <w:rPr>
                <w:sz w:val="20"/>
                <w:szCs w:val="22"/>
              </w:rPr>
            </w:pPr>
          </w:p>
        </w:tc>
      </w:tr>
      <w:tr w:rsidR="00B14B51" w:rsidRPr="00EC1DDA" w:rsidTr="00BA69DE">
        <w:tc>
          <w:tcPr>
            <w:tcW w:w="6943" w:type="dxa"/>
          </w:tcPr>
          <w:p w:rsidR="00B14B51" w:rsidRPr="00236D61" w:rsidRDefault="00B14B51" w:rsidP="00BA69DE">
            <w:pPr>
              <w:spacing w:before="80" w:line="204" w:lineRule="auto"/>
              <w:ind w:left="142" w:firstLine="142"/>
              <w:rPr>
                <w:sz w:val="20"/>
                <w:szCs w:val="22"/>
              </w:rPr>
            </w:pPr>
            <w:r w:rsidRPr="00236D61">
              <w:rPr>
                <w:sz w:val="20"/>
                <w:szCs w:val="22"/>
              </w:rPr>
              <w:t>кредиты банков</w:t>
            </w:r>
          </w:p>
        </w:tc>
        <w:tc>
          <w:tcPr>
            <w:tcW w:w="2410" w:type="dxa"/>
            <w:vAlign w:val="center"/>
          </w:tcPr>
          <w:p w:rsidR="00B14B51" w:rsidRPr="00236D61" w:rsidRDefault="00192AB6" w:rsidP="00BA69DE">
            <w:pPr>
              <w:spacing w:before="80" w:line="204" w:lineRule="auto"/>
              <w:jc w:val="center"/>
              <w:rPr>
                <w:sz w:val="20"/>
                <w:szCs w:val="22"/>
              </w:rPr>
            </w:pPr>
            <w:r>
              <w:rPr>
                <w:sz w:val="20"/>
                <w:szCs w:val="22"/>
              </w:rPr>
              <w:t>8,3</w:t>
            </w:r>
          </w:p>
        </w:tc>
      </w:tr>
      <w:tr w:rsidR="00B14B51" w:rsidRPr="00EC1DDA" w:rsidTr="00BA69DE">
        <w:tc>
          <w:tcPr>
            <w:tcW w:w="6943" w:type="dxa"/>
          </w:tcPr>
          <w:p w:rsidR="00B14B51" w:rsidRPr="00236D61" w:rsidRDefault="00B14B51" w:rsidP="00BA69DE">
            <w:pPr>
              <w:spacing w:before="80" w:line="204" w:lineRule="auto"/>
              <w:ind w:left="142" w:firstLine="142"/>
              <w:rPr>
                <w:sz w:val="20"/>
                <w:szCs w:val="22"/>
              </w:rPr>
            </w:pPr>
            <w:r w:rsidRPr="00236D61">
              <w:rPr>
                <w:sz w:val="20"/>
                <w:szCs w:val="22"/>
              </w:rPr>
              <w:t>заемные средства других организаций</w:t>
            </w:r>
          </w:p>
        </w:tc>
        <w:tc>
          <w:tcPr>
            <w:tcW w:w="2410" w:type="dxa"/>
            <w:vAlign w:val="center"/>
          </w:tcPr>
          <w:p w:rsidR="00B14B51" w:rsidRPr="00236D61" w:rsidRDefault="00192AB6" w:rsidP="00BA69DE">
            <w:pPr>
              <w:spacing w:before="80" w:line="204" w:lineRule="auto"/>
              <w:jc w:val="center"/>
              <w:rPr>
                <w:sz w:val="20"/>
                <w:szCs w:val="22"/>
              </w:rPr>
            </w:pPr>
            <w:r>
              <w:rPr>
                <w:sz w:val="20"/>
                <w:szCs w:val="22"/>
              </w:rPr>
              <w:t>2</w:t>
            </w:r>
            <w:r w:rsidR="000A745C">
              <w:rPr>
                <w:sz w:val="20"/>
                <w:szCs w:val="22"/>
              </w:rPr>
              <w:t>,7</w:t>
            </w:r>
          </w:p>
        </w:tc>
      </w:tr>
      <w:tr w:rsidR="00B14B51" w:rsidRPr="00EC1DDA" w:rsidTr="00BA69DE">
        <w:tc>
          <w:tcPr>
            <w:tcW w:w="6943" w:type="dxa"/>
          </w:tcPr>
          <w:p w:rsidR="00B14B51" w:rsidRPr="00236D61" w:rsidRDefault="00B14B51" w:rsidP="00BA69DE">
            <w:pPr>
              <w:spacing w:before="80" w:line="204" w:lineRule="auto"/>
              <w:ind w:left="426" w:hanging="142"/>
              <w:rPr>
                <w:sz w:val="20"/>
                <w:szCs w:val="22"/>
              </w:rPr>
            </w:pPr>
            <w:r w:rsidRPr="00236D61">
              <w:rPr>
                <w:sz w:val="20"/>
                <w:szCs w:val="22"/>
              </w:rPr>
              <w:t>инвестиции из-за рубежа</w:t>
            </w:r>
          </w:p>
        </w:tc>
        <w:tc>
          <w:tcPr>
            <w:tcW w:w="2410" w:type="dxa"/>
            <w:vAlign w:val="center"/>
          </w:tcPr>
          <w:p w:rsidR="00B14B51" w:rsidRPr="00236D61" w:rsidRDefault="00B14B51" w:rsidP="00BA69DE">
            <w:pPr>
              <w:spacing w:before="80" w:line="204" w:lineRule="auto"/>
              <w:jc w:val="center"/>
              <w:rPr>
                <w:sz w:val="20"/>
                <w:szCs w:val="22"/>
              </w:rPr>
            </w:pPr>
            <w:r w:rsidRPr="00236D61">
              <w:rPr>
                <w:sz w:val="20"/>
                <w:szCs w:val="22"/>
              </w:rPr>
              <w:t>-</w:t>
            </w:r>
            <w:r w:rsidR="00706CF2">
              <w:rPr>
                <w:sz w:val="20"/>
                <w:szCs w:val="22"/>
              </w:rPr>
              <w:t xml:space="preserve"> *</w:t>
            </w:r>
          </w:p>
        </w:tc>
      </w:tr>
      <w:tr w:rsidR="00B14B51" w:rsidRPr="00EC1DDA" w:rsidTr="00BA69DE">
        <w:tc>
          <w:tcPr>
            <w:tcW w:w="6943" w:type="dxa"/>
          </w:tcPr>
          <w:p w:rsidR="00B14B51" w:rsidRPr="00236D61" w:rsidRDefault="00B14B51" w:rsidP="00BA69DE">
            <w:pPr>
              <w:spacing w:before="80" w:line="204" w:lineRule="auto"/>
              <w:ind w:left="426" w:hanging="142"/>
              <w:rPr>
                <w:sz w:val="20"/>
                <w:szCs w:val="22"/>
              </w:rPr>
            </w:pPr>
            <w:r w:rsidRPr="00236D61">
              <w:rPr>
                <w:sz w:val="20"/>
                <w:szCs w:val="22"/>
              </w:rPr>
              <w:t xml:space="preserve">бюджетные средства </w:t>
            </w:r>
          </w:p>
        </w:tc>
        <w:tc>
          <w:tcPr>
            <w:tcW w:w="2410" w:type="dxa"/>
            <w:vAlign w:val="center"/>
          </w:tcPr>
          <w:p w:rsidR="00B14B51" w:rsidRPr="00236D61" w:rsidRDefault="000A745C" w:rsidP="00192AB6">
            <w:pPr>
              <w:spacing w:before="80" w:line="204" w:lineRule="auto"/>
              <w:jc w:val="center"/>
              <w:rPr>
                <w:sz w:val="20"/>
                <w:szCs w:val="22"/>
              </w:rPr>
            </w:pPr>
            <w:r>
              <w:rPr>
                <w:sz w:val="20"/>
                <w:szCs w:val="22"/>
              </w:rPr>
              <w:t>2</w:t>
            </w:r>
            <w:r w:rsidR="00192AB6">
              <w:rPr>
                <w:sz w:val="20"/>
                <w:szCs w:val="22"/>
              </w:rPr>
              <w:t>9</w:t>
            </w:r>
            <w:r>
              <w:rPr>
                <w:sz w:val="20"/>
                <w:szCs w:val="22"/>
              </w:rPr>
              <w:t>,6</w:t>
            </w:r>
          </w:p>
        </w:tc>
      </w:tr>
      <w:tr w:rsidR="00B14B51" w:rsidRPr="00EC1DDA" w:rsidTr="00BA69DE">
        <w:tc>
          <w:tcPr>
            <w:tcW w:w="6943" w:type="dxa"/>
          </w:tcPr>
          <w:p w:rsidR="00B14B51" w:rsidRPr="00236D61" w:rsidRDefault="00B14B51" w:rsidP="00BA69DE">
            <w:pPr>
              <w:spacing w:before="80" w:line="204" w:lineRule="auto"/>
              <w:ind w:left="851"/>
              <w:rPr>
                <w:sz w:val="20"/>
                <w:szCs w:val="22"/>
              </w:rPr>
            </w:pPr>
            <w:r w:rsidRPr="00236D61">
              <w:rPr>
                <w:sz w:val="20"/>
                <w:szCs w:val="22"/>
              </w:rPr>
              <w:t>из них:</w:t>
            </w:r>
          </w:p>
        </w:tc>
        <w:tc>
          <w:tcPr>
            <w:tcW w:w="2410" w:type="dxa"/>
            <w:vAlign w:val="bottom"/>
          </w:tcPr>
          <w:p w:rsidR="00B14B51" w:rsidRPr="00236D61" w:rsidRDefault="00B14B51" w:rsidP="00BA69DE">
            <w:pPr>
              <w:spacing w:before="80" w:line="204" w:lineRule="auto"/>
              <w:ind w:firstLine="709"/>
              <w:jc w:val="center"/>
              <w:rPr>
                <w:sz w:val="20"/>
                <w:szCs w:val="22"/>
              </w:rPr>
            </w:pPr>
          </w:p>
        </w:tc>
      </w:tr>
      <w:tr w:rsidR="00B14B51" w:rsidRPr="00EC1DDA" w:rsidTr="00BA69DE">
        <w:tc>
          <w:tcPr>
            <w:tcW w:w="6943" w:type="dxa"/>
          </w:tcPr>
          <w:p w:rsidR="00B14B51" w:rsidRPr="00236D61" w:rsidRDefault="00B14B51" w:rsidP="00BA69DE">
            <w:pPr>
              <w:spacing w:before="80" w:line="204" w:lineRule="auto"/>
              <w:ind w:left="567" w:hanging="142"/>
              <w:rPr>
                <w:sz w:val="20"/>
                <w:szCs w:val="22"/>
              </w:rPr>
            </w:pPr>
            <w:r w:rsidRPr="00236D61">
              <w:rPr>
                <w:sz w:val="20"/>
                <w:szCs w:val="22"/>
              </w:rPr>
              <w:t>из федерального бюджета</w:t>
            </w:r>
          </w:p>
        </w:tc>
        <w:tc>
          <w:tcPr>
            <w:tcW w:w="2410" w:type="dxa"/>
            <w:vAlign w:val="center"/>
          </w:tcPr>
          <w:p w:rsidR="00B14B51" w:rsidRPr="00236D61" w:rsidRDefault="00192AB6" w:rsidP="00732AB7">
            <w:pPr>
              <w:spacing w:before="80" w:line="204" w:lineRule="auto"/>
              <w:jc w:val="center"/>
              <w:rPr>
                <w:sz w:val="20"/>
                <w:szCs w:val="22"/>
              </w:rPr>
            </w:pPr>
            <w:r>
              <w:rPr>
                <w:sz w:val="20"/>
                <w:szCs w:val="22"/>
              </w:rPr>
              <w:t>16</w:t>
            </w:r>
            <w:r w:rsidR="000A745C">
              <w:rPr>
                <w:sz w:val="20"/>
                <w:szCs w:val="22"/>
              </w:rPr>
              <w:t>,3</w:t>
            </w:r>
          </w:p>
        </w:tc>
      </w:tr>
      <w:tr w:rsidR="00B14B51" w:rsidRPr="00EC1DDA" w:rsidTr="00BA69DE">
        <w:tc>
          <w:tcPr>
            <w:tcW w:w="6943" w:type="dxa"/>
          </w:tcPr>
          <w:p w:rsidR="00B14B51" w:rsidRPr="00236D61" w:rsidRDefault="00B14B51" w:rsidP="00BA69DE">
            <w:pPr>
              <w:spacing w:before="80" w:line="204" w:lineRule="auto"/>
              <w:ind w:left="567" w:hanging="142"/>
              <w:rPr>
                <w:sz w:val="20"/>
                <w:szCs w:val="22"/>
              </w:rPr>
            </w:pPr>
            <w:r w:rsidRPr="00236D61">
              <w:rPr>
                <w:sz w:val="20"/>
                <w:szCs w:val="22"/>
              </w:rPr>
              <w:t>из республиканского бюджета</w:t>
            </w:r>
          </w:p>
        </w:tc>
        <w:tc>
          <w:tcPr>
            <w:tcW w:w="2410" w:type="dxa"/>
            <w:vAlign w:val="center"/>
          </w:tcPr>
          <w:p w:rsidR="00B14B51" w:rsidRPr="00236D61" w:rsidRDefault="00192AB6" w:rsidP="00BA69DE">
            <w:pPr>
              <w:spacing w:before="80" w:line="204" w:lineRule="auto"/>
              <w:jc w:val="center"/>
              <w:rPr>
                <w:sz w:val="20"/>
                <w:szCs w:val="22"/>
              </w:rPr>
            </w:pPr>
            <w:r>
              <w:rPr>
                <w:sz w:val="20"/>
                <w:szCs w:val="22"/>
              </w:rPr>
              <w:t>10,1</w:t>
            </w:r>
          </w:p>
        </w:tc>
      </w:tr>
      <w:tr w:rsidR="00B14B51" w:rsidRPr="00EC1DDA" w:rsidTr="00BA69DE">
        <w:tc>
          <w:tcPr>
            <w:tcW w:w="6943" w:type="dxa"/>
          </w:tcPr>
          <w:p w:rsidR="00B14B51" w:rsidRPr="00236D61" w:rsidRDefault="00B14B51" w:rsidP="00BA69DE">
            <w:pPr>
              <w:spacing w:before="80" w:line="204" w:lineRule="auto"/>
              <w:ind w:left="567" w:hanging="142"/>
              <w:rPr>
                <w:sz w:val="20"/>
                <w:szCs w:val="22"/>
              </w:rPr>
            </w:pPr>
            <w:r w:rsidRPr="00236D61">
              <w:rPr>
                <w:sz w:val="20"/>
                <w:szCs w:val="22"/>
              </w:rPr>
              <w:t>из местного бюджета</w:t>
            </w:r>
          </w:p>
        </w:tc>
        <w:tc>
          <w:tcPr>
            <w:tcW w:w="2410" w:type="dxa"/>
            <w:vAlign w:val="center"/>
          </w:tcPr>
          <w:p w:rsidR="00B14B51" w:rsidRPr="00236D61" w:rsidRDefault="00B14B51" w:rsidP="00732AB7">
            <w:pPr>
              <w:spacing w:before="80" w:line="204" w:lineRule="auto"/>
              <w:jc w:val="center"/>
              <w:rPr>
                <w:sz w:val="20"/>
                <w:szCs w:val="22"/>
              </w:rPr>
            </w:pPr>
            <w:r w:rsidRPr="00236D61">
              <w:rPr>
                <w:sz w:val="20"/>
                <w:szCs w:val="22"/>
              </w:rPr>
              <w:t>3,</w:t>
            </w:r>
            <w:r w:rsidR="00192AB6">
              <w:rPr>
                <w:sz w:val="20"/>
                <w:szCs w:val="22"/>
              </w:rPr>
              <w:t>2</w:t>
            </w:r>
          </w:p>
        </w:tc>
      </w:tr>
      <w:tr w:rsidR="00B14B51" w:rsidRPr="00EC1DDA" w:rsidTr="00BA69DE">
        <w:trPr>
          <w:trHeight w:val="260"/>
        </w:trPr>
        <w:tc>
          <w:tcPr>
            <w:tcW w:w="6943" w:type="dxa"/>
          </w:tcPr>
          <w:p w:rsidR="00B14B51" w:rsidRPr="00236D61" w:rsidRDefault="00B14B51" w:rsidP="00BA69DE">
            <w:pPr>
              <w:spacing w:before="80" w:line="204" w:lineRule="auto"/>
              <w:ind w:left="284"/>
              <w:rPr>
                <w:sz w:val="20"/>
                <w:szCs w:val="22"/>
              </w:rPr>
            </w:pPr>
            <w:r w:rsidRPr="00236D61">
              <w:rPr>
                <w:sz w:val="20"/>
                <w:szCs w:val="22"/>
              </w:rPr>
              <w:t>средства внебюджетных фондов</w:t>
            </w:r>
          </w:p>
        </w:tc>
        <w:tc>
          <w:tcPr>
            <w:tcW w:w="2410" w:type="dxa"/>
            <w:vAlign w:val="center"/>
          </w:tcPr>
          <w:p w:rsidR="00B14B51" w:rsidRPr="00236D61" w:rsidRDefault="00192AB6" w:rsidP="00BA69DE">
            <w:pPr>
              <w:spacing w:before="80" w:line="204" w:lineRule="auto"/>
              <w:jc w:val="center"/>
              <w:rPr>
                <w:sz w:val="20"/>
                <w:szCs w:val="22"/>
              </w:rPr>
            </w:pPr>
            <w:r>
              <w:rPr>
                <w:sz w:val="20"/>
                <w:szCs w:val="22"/>
              </w:rPr>
              <w:t>-*</w:t>
            </w:r>
          </w:p>
        </w:tc>
      </w:tr>
      <w:tr w:rsidR="00B14B51" w:rsidRPr="00EC1DDA" w:rsidTr="00BA69DE">
        <w:tc>
          <w:tcPr>
            <w:tcW w:w="6943" w:type="dxa"/>
          </w:tcPr>
          <w:p w:rsidR="00B14B51" w:rsidRPr="00236D61" w:rsidRDefault="00B14B51" w:rsidP="00BA69DE">
            <w:pPr>
              <w:spacing w:before="80" w:line="204" w:lineRule="auto"/>
              <w:ind w:left="284"/>
              <w:rPr>
                <w:sz w:val="20"/>
                <w:szCs w:val="22"/>
              </w:rPr>
            </w:pPr>
            <w:r w:rsidRPr="00236D61">
              <w:rPr>
                <w:sz w:val="20"/>
                <w:szCs w:val="22"/>
              </w:rPr>
              <w:t>средства организаций и населения, привлеченные для долевого строительства</w:t>
            </w:r>
          </w:p>
        </w:tc>
        <w:tc>
          <w:tcPr>
            <w:tcW w:w="2410" w:type="dxa"/>
            <w:vAlign w:val="bottom"/>
          </w:tcPr>
          <w:p w:rsidR="000A745C" w:rsidRPr="00236D61" w:rsidRDefault="00192AB6" w:rsidP="000A745C">
            <w:pPr>
              <w:spacing w:before="80" w:line="204" w:lineRule="auto"/>
              <w:jc w:val="center"/>
              <w:rPr>
                <w:sz w:val="20"/>
                <w:szCs w:val="22"/>
              </w:rPr>
            </w:pPr>
            <w:r>
              <w:rPr>
                <w:sz w:val="20"/>
                <w:szCs w:val="22"/>
              </w:rPr>
              <w:t>13,8</w:t>
            </w:r>
          </w:p>
        </w:tc>
      </w:tr>
      <w:tr w:rsidR="00B14B51" w:rsidRPr="00EC1DDA" w:rsidTr="00BA69DE">
        <w:tc>
          <w:tcPr>
            <w:tcW w:w="6943" w:type="dxa"/>
          </w:tcPr>
          <w:p w:rsidR="00B14B51" w:rsidRPr="00236D61" w:rsidRDefault="00B14B51" w:rsidP="00BA69DE">
            <w:pPr>
              <w:spacing w:before="80" w:after="80" w:line="204" w:lineRule="auto"/>
              <w:ind w:left="284"/>
              <w:rPr>
                <w:sz w:val="20"/>
                <w:szCs w:val="22"/>
              </w:rPr>
            </w:pPr>
            <w:r w:rsidRPr="00236D61">
              <w:rPr>
                <w:sz w:val="20"/>
                <w:szCs w:val="22"/>
              </w:rPr>
              <w:t>прочие</w:t>
            </w:r>
          </w:p>
        </w:tc>
        <w:tc>
          <w:tcPr>
            <w:tcW w:w="2410" w:type="dxa"/>
            <w:vAlign w:val="center"/>
          </w:tcPr>
          <w:p w:rsidR="00B14B51" w:rsidRPr="00236D61" w:rsidRDefault="00192AB6" w:rsidP="00BA69DE">
            <w:pPr>
              <w:spacing w:before="80" w:after="80" w:line="204" w:lineRule="auto"/>
              <w:jc w:val="center"/>
              <w:rPr>
                <w:sz w:val="20"/>
                <w:szCs w:val="22"/>
              </w:rPr>
            </w:pPr>
            <w:r>
              <w:rPr>
                <w:sz w:val="20"/>
                <w:szCs w:val="22"/>
              </w:rPr>
              <w:t>3,3</w:t>
            </w:r>
          </w:p>
        </w:tc>
      </w:tr>
    </w:tbl>
    <w:p w:rsidR="00134FAD" w:rsidRPr="00732AB7" w:rsidRDefault="00732AB7" w:rsidP="00134FAD">
      <w:pPr>
        <w:ind w:firstLine="709"/>
        <w:jc w:val="both"/>
        <w:rPr>
          <w:sz w:val="18"/>
          <w:szCs w:val="18"/>
        </w:rPr>
      </w:pPr>
      <w:r w:rsidRPr="00732AB7">
        <w:rPr>
          <w:sz w:val="18"/>
          <w:szCs w:val="18"/>
        </w:rPr>
        <w:t>* Данные не размещаются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(ст.4, п.5; ст. 9. П.1).</w:t>
      </w:r>
    </w:p>
    <w:p w:rsidR="00732AB7" w:rsidRPr="005513DF" w:rsidRDefault="00732AB7" w:rsidP="00134FAD">
      <w:pPr>
        <w:ind w:firstLine="709"/>
        <w:jc w:val="both"/>
      </w:pPr>
    </w:p>
    <w:p w:rsidR="00F82ED8" w:rsidRPr="00F82ED8" w:rsidRDefault="00F82ED8" w:rsidP="00F82ED8">
      <w:pPr>
        <w:shd w:val="clear" w:color="auto" w:fill="FFFFFF"/>
        <w:ind w:firstLine="709"/>
        <w:jc w:val="both"/>
        <w:rPr>
          <w:bCs/>
        </w:rPr>
      </w:pPr>
      <w:r w:rsidRPr="00F82ED8">
        <w:rPr>
          <w:bCs/>
        </w:rPr>
        <w:t xml:space="preserve">Среди предприятий рост инвестиций обеспечен следующими хозяйствующими субъектами в рамках реализации проектов: </w:t>
      </w:r>
    </w:p>
    <w:p w:rsidR="00F82ED8" w:rsidRPr="00F82ED8" w:rsidRDefault="00F82ED8" w:rsidP="00F82ED8">
      <w:pPr>
        <w:shd w:val="clear" w:color="auto" w:fill="FFFFFF"/>
        <w:ind w:firstLine="709"/>
        <w:jc w:val="both"/>
        <w:rPr>
          <w:bCs/>
        </w:rPr>
      </w:pPr>
      <w:r w:rsidRPr="00F82ED8">
        <w:rPr>
          <w:bCs/>
        </w:rPr>
        <w:t>увеличение производительности технологической линии завода ООО «</w:t>
      </w:r>
      <w:proofErr w:type="spellStart"/>
      <w:r w:rsidRPr="00F82ED8">
        <w:rPr>
          <w:bCs/>
        </w:rPr>
        <w:t>Хевел</w:t>
      </w:r>
      <w:proofErr w:type="spellEnd"/>
      <w:r w:rsidRPr="00F82ED8">
        <w:rPr>
          <w:bCs/>
        </w:rPr>
        <w:t>» в г. Новочебоксарск и расширение линейки выпускаемой продукции;</w:t>
      </w:r>
    </w:p>
    <w:p w:rsidR="00F82ED8" w:rsidRPr="00F82ED8" w:rsidRDefault="00F82ED8" w:rsidP="00F82ED8">
      <w:pPr>
        <w:shd w:val="clear" w:color="auto" w:fill="FFFFFF"/>
        <w:ind w:firstLine="709"/>
        <w:jc w:val="both"/>
        <w:rPr>
          <w:bCs/>
        </w:rPr>
      </w:pPr>
      <w:r w:rsidRPr="00F82ED8">
        <w:rPr>
          <w:bCs/>
        </w:rPr>
        <w:t>строительство завода по переработке птичьего помета в гранулированное органическое удобрение (ООО «Агрохолдинг «</w:t>
      </w:r>
      <w:proofErr w:type="spellStart"/>
      <w:r w:rsidRPr="00F82ED8">
        <w:rPr>
          <w:bCs/>
        </w:rPr>
        <w:t>Юрма</w:t>
      </w:r>
      <w:proofErr w:type="spellEnd"/>
      <w:r w:rsidRPr="00F82ED8">
        <w:rPr>
          <w:bCs/>
        </w:rPr>
        <w:t>»);</w:t>
      </w:r>
    </w:p>
    <w:p w:rsidR="00F82ED8" w:rsidRDefault="00F82ED8" w:rsidP="00F82ED8">
      <w:pPr>
        <w:shd w:val="clear" w:color="auto" w:fill="FFFFFF"/>
        <w:ind w:firstLine="709"/>
        <w:jc w:val="both"/>
        <w:rPr>
          <w:bCs/>
        </w:rPr>
      </w:pPr>
      <w:r w:rsidRPr="00F82ED8">
        <w:rPr>
          <w:bCs/>
        </w:rPr>
        <w:t xml:space="preserve">модернизация комбикормового завода в </w:t>
      </w:r>
      <w:proofErr w:type="spellStart"/>
      <w:r w:rsidRPr="00F82ED8">
        <w:rPr>
          <w:bCs/>
        </w:rPr>
        <w:t>Алатырском</w:t>
      </w:r>
      <w:proofErr w:type="spellEnd"/>
      <w:r w:rsidRPr="00F82ED8">
        <w:rPr>
          <w:bCs/>
        </w:rPr>
        <w:t xml:space="preserve"> районе (ООО «Агрохолдинг «</w:t>
      </w:r>
      <w:proofErr w:type="spellStart"/>
      <w:r w:rsidRPr="00F82ED8">
        <w:rPr>
          <w:bCs/>
        </w:rPr>
        <w:t>Юрма</w:t>
      </w:r>
      <w:proofErr w:type="spellEnd"/>
      <w:r w:rsidRPr="00F82ED8">
        <w:rPr>
          <w:bCs/>
        </w:rPr>
        <w:t>»);</w:t>
      </w:r>
    </w:p>
    <w:p w:rsidR="006A11E3" w:rsidRPr="00F82ED8" w:rsidRDefault="006A11E3" w:rsidP="00F82ED8">
      <w:pPr>
        <w:shd w:val="clear" w:color="auto" w:fill="FFFFFF"/>
        <w:ind w:firstLine="709"/>
        <w:jc w:val="both"/>
        <w:rPr>
          <w:bCs/>
        </w:rPr>
      </w:pPr>
      <w:r>
        <w:rPr>
          <w:bCs/>
        </w:rPr>
        <w:t xml:space="preserve">строительство </w:t>
      </w:r>
      <w:r w:rsidRPr="006A11E3">
        <w:rPr>
          <w:bCs/>
        </w:rPr>
        <w:t>тепличного комплекса «</w:t>
      </w:r>
      <w:proofErr w:type="spellStart"/>
      <w:r w:rsidRPr="006A11E3">
        <w:rPr>
          <w:bCs/>
        </w:rPr>
        <w:t>Новочебоксарский</w:t>
      </w:r>
      <w:proofErr w:type="spellEnd"/>
      <w:r w:rsidRPr="006A11E3">
        <w:rPr>
          <w:bCs/>
        </w:rPr>
        <w:t>»</w:t>
      </w:r>
      <w:r>
        <w:rPr>
          <w:bCs/>
        </w:rPr>
        <w:t xml:space="preserve"> (ООО «ТК «</w:t>
      </w:r>
      <w:proofErr w:type="spellStart"/>
      <w:r>
        <w:rPr>
          <w:bCs/>
        </w:rPr>
        <w:t>Новчебоксарский</w:t>
      </w:r>
      <w:proofErr w:type="spellEnd"/>
      <w:r>
        <w:rPr>
          <w:bCs/>
        </w:rPr>
        <w:t>»);</w:t>
      </w:r>
    </w:p>
    <w:p w:rsidR="00F82ED8" w:rsidRPr="00F82ED8" w:rsidRDefault="00F82ED8" w:rsidP="00F82ED8">
      <w:pPr>
        <w:shd w:val="clear" w:color="auto" w:fill="FFFFFF"/>
        <w:ind w:firstLine="709"/>
        <w:jc w:val="both"/>
        <w:rPr>
          <w:bCs/>
        </w:rPr>
      </w:pPr>
      <w:r w:rsidRPr="00F82ED8">
        <w:rPr>
          <w:bCs/>
        </w:rPr>
        <w:lastRenderedPageBreak/>
        <w:t xml:space="preserve">организация производства танк-контейнеров, предназначенных для хранения и транспортировки жидкостей, </w:t>
      </w:r>
      <w:proofErr w:type="spellStart"/>
      <w:r w:rsidRPr="00F82ED8">
        <w:rPr>
          <w:bCs/>
        </w:rPr>
        <w:t>сжиженых</w:t>
      </w:r>
      <w:proofErr w:type="spellEnd"/>
      <w:r w:rsidRPr="00F82ED8">
        <w:rPr>
          <w:bCs/>
        </w:rPr>
        <w:t xml:space="preserve"> газов и сыпучих материалов (ЗАО «Чебок</w:t>
      </w:r>
      <w:r>
        <w:rPr>
          <w:bCs/>
        </w:rPr>
        <w:t>сарское предприятие «</w:t>
      </w:r>
      <w:proofErr w:type="spellStart"/>
      <w:r>
        <w:rPr>
          <w:bCs/>
        </w:rPr>
        <w:t>Сеспель</w:t>
      </w:r>
      <w:proofErr w:type="spellEnd"/>
      <w:r>
        <w:rPr>
          <w:bCs/>
        </w:rPr>
        <w:t xml:space="preserve">») </w:t>
      </w:r>
      <w:r w:rsidRPr="00F82ED8">
        <w:rPr>
          <w:bCs/>
        </w:rPr>
        <w:t>и др.</w:t>
      </w:r>
    </w:p>
    <w:p w:rsidR="00523DBF" w:rsidRPr="00523DBF" w:rsidRDefault="00523DBF" w:rsidP="00523DBF">
      <w:pPr>
        <w:shd w:val="clear" w:color="auto" w:fill="FFFFFF"/>
        <w:ind w:firstLine="709"/>
        <w:jc w:val="both"/>
        <w:rPr>
          <w:bCs/>
        </w:rPr>
      </w:pPr>
      <w:r w:rsidRPr="00523DBF">
        <w:rPr>
          <w:bCs/>
        </w:rPr>
        <w:t>Продолжается реализация следующих инвестиционных проектов:</w:t>
      </w:r>
    </w:p>
    <w:p w:rsidR="00523DBF" w:rsidRPr="00523DBF" w:rsidRDefault="00523DBF" w:rsidP="00523DBF">
      <w:pPr>
        <w:shd w:val="clear" w:color="auto" w:fill="FFFFFF"/>
        <w:ind w:firstLine="709"/>
        <w:jc w:val="both"/>
        <w:rPr>
          <w:bCs/>
        </w:rPr>
      </w:pPr>
      <w:r w:rsidRPr="00523DBF">
        <w:rPr>
          <w:bCs/>
        </w:rPr>
        <w:t xml:space="preserve">расширение производства электротехнического оборудования, ООО «НПП </w:t>
      </w:r>
      <w:proofErr w:type="spellStart"/>
      <w:r w:rsidRPr="00523DBF">
        <w:rPr>
          <w:bCs/>
        </w:rPr>
        <w:t>Бреслер</w:t>
      </w:r>
      <w:proofErr w:type="spellEnd"/>
      <w:r w:rsidRPr="00523DBF">
        <w:rPr>
          <w:bCs/>
        </w:rPr>
        <w:t>»;</w:t>
      </w:r>
    </w:p>
    <w:p w:rsidR="00523DBF" w:rsidRPr="00523DBF" w:rsidRDefault="00523DBF" w:rsidP="00523DBF">
      <w:pPr>
        <w:shd w:val="clear" w:color="auto" w:fill="FFFFFF"/>
        <w:ind w:firstLine="709"/>
        <w:jc w:val="both"/>
        <w:rPr>
          <w:bCs/>
        </w:rPr>
      </w:pPr>
      <w:r w:rsidRPr="00523DBF">
        <w:rPr>
          <w:bCs/>
        </w:rPr>
        <w:t>строительство логистического Центра инфраструктуры индустриального парка торговой марки «АБАТ», АО «</w:t>
      </w:r>
      <w:proofErr w:type="spellStart"/>
      <w:r w:rsidRPr="00523DBF">
        <w:rPr>
          <w:bCs/>
        </w:rPr>
        <w:t>Чувашторгтехника</w:t>
      </w:r>
      <w:proofErr w:type="spellEnd"/>
      <w:r w:rsidRPr="00523DBF">
        <w:rPr>
          <w:bCs/>
        </w:rPr>
        <w:t>»;</w:t>
      </w:r>
    </w:p>
    <w:p w:rsidR="00523DBF" w:rsidRPr="00523DBF" w:rsidRDefault="00523DBF" w:rsidP="00523DBF">
      <w:pPr>
        <w:shd w:val="clear" w:color="auto" w:fill="FFFFFF"/>
        <w:ind w:firstLine="709"/>
        <w:jc w:val="both"/>
        <w:rPr>
          <w:bCs/>
        </w:rPr>
      </w:pPr>
      <w:r w:rsidRPr="00523DBF">
        <w:rPr>
          <w:bCs/>
        </w:rPr>
        <w:t xml:space="preserve">создание серии электроприводов на базе российских высокоэффективных синхронных двигателей для станков-качалок нефти с применением беспроводных систем передачи данных и адаптивной системой управления для «умных» месторождений и универсальных </w:t>
      </w:r>
      <w:proofErr w:type="spellStart"/>
      <w:r w:rsidRPr="00523DBF">
        <w:rPr>
          <w:bCs/>
        </w:rPr>
        <w:t>бестрансформаторных</w:t>
      </w:r>
      <w:proofErr w:type="spellEnd"/>
      <w:r w:rsidRPr="00523DBF">
        <w:rPr>
          <w:bCs/>
        </w:rPr>
        <w:t xml:space="preserve"> высоковольтных преобразователей транспортировки и распределения электроэнергии, АО «ЧЭАЗ»;</w:t>
      </w:r>
    </w:p>
    <w:p w:rsidR="00523DBF" w:rsidRPr="00523DBF" w:rsidRDefault="00523DBF" w:rsidP="00523DBF">
      <w:pPr>
        <w:shd w:val="clear" w:color="auto" w:fill="FFFFFF"/>
        <w:ind w:firstLine="709"/>
        <w:jc w:val="both"/>
        <w:rPr>
          <w:bCs/>
        </w:rPr>
      </w:pPr>
      <w:r w:rsidRPr="00523DBF">
        <w:rPr>
          <w:bCs/>
        </w:rPr>
        <w:t xml:space="preserve">создание высокотехнологичного производства уплотнительных элементов для нефтегазодобывающей промышленности, АО «ЧПО им. В.И. Чапаева»; </w:t>
      </w:r>
    </w:p>
    <w:p w:rsidR="00523DBF" w:rsidRPr="00523DBF" w:rsidRDefault="00523DBF" w:rsidP="00523DBF">
      <w:pPr>
        <w:shd w:val="clear" w:color="auto" w:fill="FFFFFF"/>
        <w:ind w:firstLine="709"/>
        <w:jc w:val="both"/>
        <w:rPr>
          <w:bCs/>
        </w:rPr>
      </w:pPr>
      <w:r w:rsidRPr="00523DBF">
        <w:rPr>
          <w:bCs/>
        </w:rPr>
        <w:t>разработка высокотехнологичных энергосберегающих устройств частотного регулирования высоковольтных двигателей, ОАО «ВНИИР»;</w:t>
      </w:r>
    </w:p>
    <w:p w:rsidR="00523DBF" w:rsidRPr="00523DBF" w:rsidRDefault="00523DBF" w:rsidP="00523DBF">
      <w:pPr>
        <w:shd w:val="clear" w:color="auto" w:fill="FFFFFF"/>
        <w:ind w:firstLine="709"/>
        <w:jc w:val="both"/>
        <w:rPr>
          <w:bCs/>
        </w:rPr>
      </w:pPr>
      <w:r w:rsidRPr="00523DBF">
        <w:rPr>
          <w:bCs/>
        </w:rPr>
        <w:t>строительство завода объемно-блочного домостроения, ООО «Завод объемно-блочного домостроения»;</w:t>
      </w:r>
    </w:p>
    <w:p w:rsidR="00523DBF" w:rsidRPr="00523DBF" w:rsidRDefault="00523DBF" w:rsidP="00523DBF">
      <w:pPr>
        <w:shd w:val="clear" w:color="auto" w:fill="FFFFFF"/>
        <w:ind w:firstLine="709"/>
        <w:jc w:val="both"/>
        <w:rPr>
          <w:bCs/>
        </w:rPr>
      </w:pPr>
      <w:r w:rsidRPr="00523DBF">
        <w:rPr>
          <w:bCs/>
        </w:rPr>
        <w:t>строительство высокотехнологичного завода по производству стальных дверей под маркой «BERSERKER» на территории индустриального парка г. Чебоксары, ООО «БКР»;</w:t>
      </w:r>
    </w:p>
    <w:p w:rsidR="0064352C" w:rsidRPr="007976D8" w:rsidRDefault="00523DBF" w:rsidP="00523DBF">
      <w:pPr>
        <w:shd w:val="clear" w:color="auto" w:fill="FFFFFF"/>
        <w:ind w:firstLine="709"/>
        <w:jc w:val="both"/>
        <w:rPr>
          <w:lang w:eastAsia="x-none"/>
        </w:rPr>
      </w:pPr>
      <w:r w:rsidRPr="00523DBF">
        <w:rPr>
          <w:bCs/>
        </w:rPr>
        <w:t>строительство производства коммерческого машиностроения на территории индустриального парка в г. Канаше, ООО «</w:t>
      </w:r>
      <w:proofErr w:type="spellStart"/>
      <w:r w:rsidRPr="00523DBF">
        <w:rPr>
          <w:bCs/>
        </w:rPr>
        <w:t>Аркто</w:t>
      </w:r>
      <w:proofErr w:type="spellEnd"/>
      <w:r w:rsidRPr="00523DBF">
        <w:rPr>
          <w:bCs/>
        </w:rPr>
        <w:t>» и ряд других.</w:t>
      </w:r>
    </w:p>
    <w:sectPr w:rsidR="0064352C" w:rsidRPr="007976D8" w:rsidSect="003F54F4">
      <w:headerReference w:type="default" r:id="rId7"/>
      <w:pgSz w:w="11906" w:h="16838"/>
      <w:pgMar w:top="993" w:right="850" w:bottom="1418" w:left="1701" w:header="708" w:footer="708"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46" w:rsidRDefault="00DC3D46" w:rsidP="007E654D">
      <w:r>
        <w:separator/>
      </w:r>
    </w:p>
  </w:endnote>
  <w:endnote w:type="continuationSeparator" w:id="0">
    <w:p w:rsidR="00DC3D46" w:rsidRDefault="00DC3D46" w:rsidP="007E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46" w:rsidRDefault="00DC3D46" w:rsidP="007E654D">
      <w:r>
        <w:separator/>
      </w:r>
    </w:p>
  </w:footnote>
  <w:footnote w:type="continuationSeparator" w:id="0">
    <w:p w:rsidR="00DC3D46" w:rsidRDefault="00DC3D46" w:rsidP="007E6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468411"/>
      <w:docPartObj>
        <w:docPartGallery w:val="Page Numbers (Top of Page)"/>
        <w:docPartUnique/>
      </w:docPartObj>
    </w:sdtPr>
    <w:sdtEndPr/>
    <w:sdtContent>
      <w:p w:rsidR="000A745C" w:rsidRDefault="000A745C">
        <w:pPr>
          <w:pStyle w:val="aa"/>
          <w:jc w:val="center"/>
        </w:pPr>
        <w:r>
          <w:fldChar w:fldCharType="begin"/>
        </w:r>
        <w:r>
          <w:instrText>PAGE   \* MERGEFORMAT</w:instrText>
        </w:r>
        <w:r>
          <w:fldChar w:fldCharType="separate"/>
        </w:r>
        <w:r w:rsidR="003B60D9">
          <w:rPr>
            <w:noProof/>
          </w:rPr>
          <w:t>21</w:t>
        </w:r>
        <w:r>
          <w:fldChar w:fldCharType="end"/>
        </w:r>
      </w:p>
    </w:sdtContent>
  </w:sdt>
  <w:p w:rsidR="000A745C" w:rsidRDefault="000A745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4D"/>
    <w:rsid w:val="00085A67"/>
    <w:rsid w:val="000A745C"/>
    <w:rsid w:val="000B431D"/>
    <w:rsid w:val="000D1BC7"/>
    <w:rsid w:val="000E4075"/>
    <w:rsid w:val="000F106E"/>
    <w:rsid w:val="00134FAD"/>
    <w:rsid w:val="0013633A"/>
    <w:rsid w:val="001407BC"/>
    <w:rsid w:val="001419E6"/>
    <w:rsid w:val="00163BEB"/>
    <w:rsid w:val="00176129"/>
    <w:rsid w:val="0018396E"/>
    <w:rsid w:val="00192AB6"/>
    <w:rsid w:val="001951AC"/>
    <w:rsid w:val="001B43FE"/>
    <w:rsid w:val="001E55E2"/>
    <w:rsid w:val="00236D61"/>
    <w:rsid w:val="002829C6"/>
    <w:rsid w:val="002E3DBE"/>
    <w:rsid w:val="003070C4"/>
    <w:rsid w:val="00321701"/>
    <w:rsid w:val="003343FE"/>
    <w:rsid w:val="00336A02"/>
    <w:rsid w:val="0036659E"/>
    <w:rsid w:val="003A4E56"/>
    <w:rsid w:val="003B60D9"/>
    <w:rsid w:val="003C1C6C"/>
    <w:rsid w:val="003F0FDA"/>
    <w:rsid w:val="003F54F4"/>
    <w:rsid w:val="003F7A81"/>
    <w:rsid w:val="00405615"/>
    <w:rsid w:val="00413515"/>
    <w:rsid w:val="00414460"/>
    <w:rsid w:val="004160C3"/>
    <w:rsid w:val="00441B8D"/>
    <w:rsid w:val="004B3B04"/>
    <w:rsid w:val="0051150F"/>
    <w:rsid w:val="00523DBF"/>
    <w:rsid w:val="00531306"/>
    <w:rsid w:val="005513DF"/>
    <w:rsid w:val="005A1398"/>
    <w:rsid w:val="005C7522"/>
    <w:rsid w:val="005D02DF"/>
    <w:rsid w:val="0064352C"/>
    <w:rsid w:val="00653816"/>
    <w:rsid w:val="00693D28"/>
    <w:rsid w:val="006A11E3"/>
    <w:rsid w:val="006B0BCB"/>
    <w:rsid w:val="006E0083"/>
    <w:rsid w:val="006E0D24"/>
    <w:rsid w:val="006F2015"/>
    <w:rsid w:val="0070512E"/>
    <w:rsid w:val="00706CF2"/>
    <w:rsid w:val="00710C10"/>
    <w:rsid w:val="00732AB7"/>
    <w:rsid w:val="0075747E"/>
    <w:rsid w:val="00771670"/>
    <w:rsid w:val="007976D8"/>
    <w:rsid w:val="007B7539"/>
    <w:rsid w:val="007E5896"/>
    <w:rsid w:val="007E654D"/>
    <w:rsid w:val="00806919"/>
    <w:rsid w:val="00831058"/>
    <w:rsid w:val="00873EBF"/>
    <w:rsid w:val="008A502D"/>
    <w:rsid w:val="00975CAC"/>
    <w:rsid w:val="009906B8"/>
    <w:rsid w:val="009C05C3"/>
    <w:rsid w:val="009C082C"/>
    <w:rsid w:val="009E7DDD"/>
    <w:rsid w:val="009F42D4"/>
    <w:rsid w:val="00A211C6"/>
    <w:rsid w:val="00A64BF3"/>
    <w:rsid w:val="00AB0FE0"/>
    <w:rsid w:val="00B06CD4"/>
    <w:rsid w:val="00B14B51"/>
    <w:rsid w:val="00B2714D"/>
    <w:rsid w:val="00B46AD0"/>
    <w:rsid w:val="00B5510E"/>
    <w:rsid w:val="00B5723E"/>
    <w:rsid w:val="00B724EA"/>
    <w:rsid w:val="00B74618"/>
    <w:rsid w:val="00B75246"/>
    <w:rsid w:val="00B906B9"/>
    <w:rsid w:val="00BA69DE"/>
    <w:rsid w:val="00BE22DF"/>
    <w:rsid w:val="00C02AA9"/>
    <w:rsid w:val="00C06948"/>
    <w:rsid w:val="00C1036A"/>
    <w:rsid w:val="00C1586B"/>
    <w:rsid w:val="00C25D17"/>
    <w:rsid w:val="00C5099A"/>
    <w:rsid w:val="00C610DC"/>
    <w:rsid w:val="00C7469B"/>
    <w:rsid w:val="00C760DA"/>
    <w:rsid w:val="00C77035"/>
    <w:rsid w:val="00C96E09"/>
    <w:rsid w:val="00CA349B"/>
    <w:rsid w:val="00CA6F59"/>
    <w:rsid w:val="00CB148B"/>
    <w:rsid w:val="00CB2F11"/>
    <w:rsid w:val="00CB5895"/>
    <w:rsid w:val="00CD12BC"/>
    <w:rsid w:val="00CE0623"/>
    <w:rsid w:val="00D12E15"/>
    <w:rsid w:val="00D463A9"/>
    <w:rsid w:val="00D51F12"/>
    <w:rsid w:val="00D66674"/>
    <w:rsid w:val="00D83718"/>
    <w:rsid w:val="00DA04EA"/>
    <w:rsid w:val="00DA79FB"/>
    <w:rsid w:val="00DB4207"/>
    <w:rsid w:val="00DC3D46"/>
    <w:rsid w:val="00DF7C58"/>
    <w:rsid w:val="00E14C4E"/>
    <w:rsid w:val="00E24291"/>
    <w:rsid w:val="00E61488"/>
    <w:rsid w:val="00E63067"/>
    <w:rsid w:val="00E70545"/>
    <w:rsid w:val="00EB2980"/>
    <w:rsid w:val="00EC1DDA"/>
    <w:rsid w:val="00EF494A"/>
    <w:rsid w:val="00F07737"/>
    <w:rsid w:val="00F35532"/>
    <w:rsid w:val="00F454CF"/>
    <w:rsid w:val="00F82ED8"/>
    <w:rsid w:val="00FB6C62"/>
    <w:rsid w:val="00FC60B5"/>
    <w:rsid w:val="00FC6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A15BE-4784-41FA-8C95-9A92C1D9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54D"/>
    <w:rPr>
      <w:sz w:val="24"/>
      <w:szCs w:val="24"/>
      <w:lang w:eastAsia="ru-RU"/>
    </w:rPr>
  </w:style>
  <w:style w:type="paragraph" w:styleId="1">
    <w:name w:val="heading 1"/>
    <w:basedOn w:val="a"/>
    <w:next w:val="a"/>
    <w:link w:val="10"/>
    <w:qFormat/>
    <w:rsid w:val="00CD12BC"/>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маркированный,Обычный Перечисление по ГОСТу,Абзац списка2"/>
    <w:basedOn w:val="a"/>
    <w:link w:val="a3"/>
    <w:qFormat/>
    <w:rsid w:val="00CD12BC"/>
    <w:pPr>
      <w:spacing w:after="200" w:line="276" w:lineRule="auto"/>
      <w:ind w:left="720"/>
      <w:contextualSpacing/>
    </w:pPr>
    <w:rPr>
      <w:rFonts w:ascii="Calibri" w:eastAsia="Calibri" w:hAnsi="Calibri"/>
      <w:sz w:val="22"/>
      <w:szCs w:val="22"/>
      <w:lang w:eastAsia="en-US"/>
    </w:rPr>
  </w:style>
  <w:style w:type="character" w:customStyle="1" w:styleId="a3">
    <w:name w:val="Абзац списка Знак"/>
    <w:aliases w:val="маркированный Знак,Обычный Перечисление по ГОСТу Знак,Абзац списка1 Знак"/>
    <w:link w:val="11"/>
    <w:locked/>
    <w:rsid w:val="00CD12BC"/>
    <w:rPr>
      <w:rFonts w:ascii="Calibri" w:eastAsia="Calibri" w:hAnsi="Calibri"/>
      <w:sz w:val="22"/>
      <w:szCs w:val="22"/>
    </w:rPr>
  </w:style>
  <w:style w:type="paragraph" w:customStyle="1" w:styleId="111111111111111111111111111111111111111111111111111111111">
    <w:name w:val="111111111111111111111111111111111111111111111111111111111"/>
    <w:basedOn w:val="a"/>
    <w:qFormat/>
    <w:rsid w:val="00CD12BC"/>
    <w:pPr>
      <w:spacing w:after="120"/>
      <w:ind w:firstLine="709"/>
      <w:jc w:val="both"/>
    </w:pPr>
    <w:rPr>
      <w:sz w:val="28"/>
      <w:szCs w:val="28"/>
      <w:lang w:eastAsia="ar-SA"/>
    </w:rPr>
  </w:style>
  <w:style w:type="character" w:customStyle="1" w:styleId="10">
    <w:name w:val="Заголовок 1 Знак"/>
    <w:link w:val="1"/>
    <w:rsid w:val="00CD12BC"/>
    <w:rPr>
      <w:rFonts w:ascii="Cambria" w:hAnsi="Cambria"/>
      <w:b/>
      <w:bCs/>
      <w:kern w:val="32"/>
      <w:sz w:val="32"/>
      <w:szCs w:val="32"/>
    </w:rPr>
  </w:style>
  <w:style w:type="paragraph" w:styleId="12">
    <w:name w:val="toc 1"/>
    <w:basedOn w:val="a"/>
    <w:next w:val="a"/>
    <w:autoRedefine/>
    <w:uiPriority w:val="39"/>
    <w:unhideWhenUsed/>
    <w:qFormat/>
    <w:rsid w:val="00CD12BC"/>
    <w:pPr>
      <w:spacing w:after="100" w:line="276" w:lineRule="auto"/>
    </w:pPr>
    <w:rPr>
      <w:rFonts w:ascii="Calibri" w:hAnsi="Calibri"/>
      <w:sz w:val="22"/>
      <w:szCs w:val="22"/>
    </w:rPr>
  </w:style>
  <w:style w:type="paragraph" w:styleId="2">
    <w:name w:val="toc 2"/>
    <w:basedOn w:val="a"/>
    <w:next w:val="a"/>
    <w:autoRedefine/>
    <w:uiPriority w:val="39"/>
    <w:unhideWhenUsed/>
    <w:qFormat/>
    <w:rsid w:val="00CD12BC"/>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CD12BC"/>
    <w:pPr>
      <w:spacing w:after="100" w:line="276" w:lineRule="auto"/>
      <w:ind w:left="440"/>
    </w:pPr>
    <w:rPr>
      <w:rFonts w:ascii="Calibri" w:hAnsi="Calibri"/>
      <w:sz w:val="22"/>
      <w:szCs w:val="22"/>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qFormat/>
    <w:rsid w:val="00CD12BC"/>
    <w:pPr>
      <w:spacing w:before="100" w:beforeAutospacing="1" w:after="100" w:afterAutospacing="1"/>
    </w:pPr>
    <w:rPr>
      <w:rFonts w:ascii="Calibri" w:hAnsi="Calibri"/>
      <w:lang w:val="x-none" w:eastAsia="x-none"/>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CD12BC"/>
    <w:rPr>
      <w:rFonts w:ascii="Calibri" w:hAnsi="Calibri"/>
      <w:sz w:val="24"/>
      <w:szCs w:val="24"/>
      <w:lang w:val="x-none" w:eastAsia="x-none"/>
    </w:rPr>
  </w:style>
  <w:style w:type="paragraph" w:styleId="a5">
    <w:name w:val="No Spacing"/>
    <w:link w:val="a6"/>
    <w:uiPriority w:val="1"/>
    <w:qFormat/>
    <w:rsid w:val="00CD12BC"/>
    <w:rPr>
      <w:rFonts w:ascii="Calibri" w:eastAsia="Calibri" w:hAnsi="Calibri"/>
      <w:sz w:val="22"/>
      <w:szCs w:val="22"/>
    </w:rPr>
  </w:style>
  <w:style w:type="character" w:customStyle="1" w:styleId="a6">
    <w:name w:val="Без интервала Знак"/>
    <w:link w:val="a5"/>
    <w:uiPriority w:val="1"/>
    <w:locked/>
    <w:rsid w:val="00CD12BC"/>
    <w:rPr>
      <w:rFonts w:ascii="Calibri" w:eastAsia="Calibri" w:hAnsi="Calibri"/>
      <w:sz w:val="22"/>
      <w:szCs w:val="22"/>
    </w:rPr>
  </w:style>
  <w:style w:type="paragraph" w:styleId="a7">
    <w:name w:val="TOC Heading"/>
    <w:basedOn w:val="1"/>
    <w:next w:val="a"/>
    <w:uiPriority w:val="39"/>
    <w:qFormat/>
    <w:rsid w:val="00CD12BC"/>
    <w:pPr>
      <w:keepLines/>
      <w:spacing w:before="480" w:after="0" w:line="276" w:lineRule="auto"/>
      <w:outlineLvl w:val="9"/>
    </w:pPr>
    <w:rPr>
      <w:color w:val="365F91"/>
      <w:kern w:val="0"/>
      <w:sz w:val="28"/>
      <w:szCs w:val="28"/>
      <w:lang w:val="x-none" w:eastAsia="x-none"/>
    </w:rPr>
  </w:style>
  <w:style w:type="paragraph" w:styleId="a8">
    <w:name w:val="Balloon Text"/>
    <w:basedOn w:val="a"/>
    <w:link w:val="a9"/>
    <w:uiPriority w:val="99"/>
    <w:semiHidden/>
    <w:unhideWhenUsed/>
    <w:rsid w:val="007E654D"/>
    <w:rPr>
      <w:rFonts w:ascii="Tahoma" w:hAnsi="Tahoma" w:cs="Tahoma"/>
      <w:sz w:val="16"/>
      <w:szCs w:val="16"/>
    </w:rPr>
  </w:style>
  <w:style w:type="character" w:customStyle="1" w:styleId="a9">
    <w:name w:val="Текст выноски Знак"/>
    <w:basedOn w:val="a0"/>
    <w:link w:val="a8"/>
    <w:uiPriority w:val="99"/>
    <w:semiHidden/>
    <w:rsid w:val="007E654D"/>
    <w:rPr>
      <w:rFonts w:ascii="Tahoma" w:hAnsi="Tahoma" w:cs="Tahoma"/>
      <w:sz w:val="16"/>
      <w:szCs w:val="16"/>
      <w:lang w:eastAsia="ru-RU"/>
    </w:rPr>
  </w:style>
  <w:style w:type="paragraph" w:styleId="aa">
    <w:name w:val="header"/>
    <w:basedOn w:val="a"/>
    <w:link w:val="ab"/>
    <w:uiPriority w:val="99"/>
    <w:unhideWhenUsed/>
    <w:rsid w:val="007E654D"/>
    <w:pPr>
      <w:tabs>
        <w:tab w:val="center" w:pos="4677"/>
        <w:tab w:val="right" w:pos="9355"/>
      </w:tabs>
    </w:pPr>
  </w:style>
  <w:style w:type="character" w:customStyle="1" w:styleId="ab">
    <w:name w:val="Верхний колонтитул Знак"/>
    <w:basedOn w:val="a0"/>
    <w:link w:val="aa"/>
    <w:uiPriority w:val="99"/>
    <w:rsid w:val="007E654D"/>
    <w:rPr>
      <w:sz w:val="24"/>
      <w:szCs w:val="24"/>
      <w:lang w:eastAsia="ru-RU"/>
    </w:rPr>
  </w:style>
  <w:style w:type="paragraph" w:styleId="ac">
    <w:name w:val="footer"/>
    <w:basedOn w:val="a"/>
    <w:link w:val="ad"/>
    <w:uiPriority w:val="99"/>
    <w:unhideWhenUsed/>
    <w:rsid w:val="007E654D"/>
    <w:pPr>
      <w:tabs>
        <w:tab w:val="center" w:pos="4677"/>
        <w:tab w:val="right" w:pos="9355"/>
      </w:tabs>
    </w:pPr>
  </w:style>
  <w:style w:type="character" w:customStyle="1" w:styleId="ad">
    <w:name w:val="Нижний колонтитул Знак"/>
    <w:basedOn w:val="a0"/>
    <w:link w:val="ac"/>
    <w:uiPriority w:val="99"/>
    <w:rsid w:val="007E654D"/>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3861">
      <w:bodyDiv w:val="1"/>
      <w:marLeft w:val="0"/>
      <w:marRight w:val="0"/>
      <w:marTop w:val="0"/>
      <w:marBottom w:val="0"/>
      <w:divBdr>
        <w:top w:val="none" w:sz="0" w:space="0" w:color="auto"/>
        <w:left w:val="none" w:sz="0" w:space="0" w:color="auto"/>
        <w:bottom w:val="none" w:sz="0" w:space="0" w:color="auto"/>
        <w:right w:val="none" w:sz="0" w:space="0" w:color="auto"/>
      </w:divBdr>
    </w:div>
    <w:div w:id="396513098">
      <w:bodyDiv w:val="1"/>
      <w:marLeft w:val="0"/>
      <w:marRight w:val="0"/>
      <w:marTop w:val="0"/>
      <w:marBottom w:val="0"/>
      <w:divBdr>
        <w:top w:val="none" w:sz="0" w:space="0" w:color="auto"/>
        <w:left w:val="none" w:sz="0" w:space="0" w:color="auto"/>
        <w:bottom w:val="none" w:sz="0" w:space="0" w:color="auto"/>
        <w:right w:val="none" w:sz="0" w:space="0" w:color="auto"/>
      </w:divBdr>
    </w:div>
    <w:div w:id="1789544526">
      <w:bodyDiv w:val="1"/>
      <w:marLeft w:val="0"/>
      <w:marRight w:val="0"/>
      <w:marTop w:val="0"/>
      <w:marBottom w:val="0"/>
      <w:divBdr>
        <w:top w:val="none" w:sz="0" w:space="0" w:color="auto"/>
        <w:left w:val="none" w:sz="0" w:space="0" w:color="auto"/>
        <w:bottom w:val="none" w:sz="0" w:space="0" w:color="auto"/>
        <w:right w:val="none" w:sz="0" w:space="0" w:color="auto"/>
      </w:divBdr>
    </w:div>
    <w:div w:id="18635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E82A-0D53-4001-9062-EB921208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economy20 (Кузнецова М.Н.)</dc:creator>
  <cp:lastModifiedBy>economy23 (Сафиуллин М.М.)</cp:lastModifiedBy>
  <cp:revision>3</cp:revision>
  <cp:lastPrinted>2019-10-29T13:33:00Z</cp:lastPrinted>
  <dcterms:created xsi:type="dcterms:W3CDTF">2020-05-11T11:49:00Z</dcterms:created>
  <dcterms:modified xsi:type="dcterms:W3CDTF">2020-05-12T05:52:00Z</dcterms:modified>
</cp:coreProperties>
</file>