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B0" w:rsidRPr="00D20881" w:rsidRDefault="00F33BB0" w:rsidP="00F33BB0">
      <w:pPr>
        <w:pStyle w:val="20"/>
        <w:ind w:firstLine="0"/>
        <w:jc w:val="center"/>
        <w:rPr>
          <w:b/>
          <w:bCs/>
          <w:sz w:val="28"/>
        </w:rPr>
      </w:pPr>
      <w:r w:rsidRPr="00D20881">
        <w:rPr>
          <w:b/>
          <w:bCs/>
          <w:sz w:val="28"/>
        </w:rPr>
        <w:t>Потребительский рынок</w:t>
      </w:r>
    </w:p>
    <w:p w:rsidR="00F33BB0" w:rsidRPr="00D20881" w:rsidRDefault="00F33BB0" w:rsidP="00F33BB0">
      <w:pPr>
        <w:tabs>
          <w:tab w:val="left" w:pos="851"/>
        </w:tabs>
        <w:ind w:right="-143" w:firstLine="709"/>
        <w:jc w:val="both"/>
      </w:pPr>
      <w:bookmarkStart w:id="0" w:name="_Toc463688728"/>
    </w:p>
    <w:p w:rsidR="009D1BA7" w:rsidRPr="00D20881" w:rsidRDefault="008562AC" w:rsidP="009D1BA7">
      <w:pPr>
        <w:tabs>
          <w:tab w:val="left" w:pos="851"/>
        </w:tabs>
        <w:ind w:right="-1" w:firstLine="709"/>
        <w:jc w:val="both"/>
      </w:pPr>
      <w:r w:rsidRPr="008562AC">
        <w:t xml:space="preserve">В Чувашской Республике насчитывается 6,0 тыс. объектов розничной торговли, около 2,3 тыс. объектов бытовых услуг, более 1,1 тыс. объектов общественного питания.  </w:t>
      </w:r>
      <w:r>
        <w:t>Ограничительные</w:t>
      </w:r>
      <w:r w:rsidRPr="00D20881">
        <w:t xml:space="preserve"> меры</w:t>
      </w:r>
      <w:r>
        <w:t xml:space="preserve">, связанные с распространением коронавирусной инфекции в России, </w:t>
      </w:r>
      <w:r w:rsidRPr="00D20881">
        <w:t xml:space="preserve">серьезно отразились </w:t>
      </w:r>
      <w:r>
        <w:t xml:space="preserve">и </w:t>
      </w:r>
      <w:r w:rsidRPr="00D20881">
        <w:t>на сфере потребительского рынка Чувашской Республики.</w:t>
      </w:r>
    </w:p>
    <w:p w:rsidR="007B00E8" w:rsidRDefault="007B00E8" w:rsidP="009D1BA7">
      <w:pPr>
        <w:tabs>
          <w:tab w:val="left" w:pos="851"/>
        </w:tabs>
        <w:ind w:right="-1" w:firstLine="709"/>
        <w:jc w:val="both"/>
      </w:pPr>
      <w:r>
        <w:t>С</w:t>
      </w:r>
      <w:r w:rsidR="009D1BA7" w:rsidRPr="00D20881">
        <w:t xml:space="preserve"> 3 апреля по 20 июня </w:t>
      </w:r>
      <w:proofErr w:type="spellStart"/>
      <w:r w:rsidR="009D1BA7" w:rsidRPr="00D20881">
        <w:t>т.г</w:t>
      </w:r>
      <w:proofErr w:type="spellEnd"/>
      <w:r w:rsidR="009D1BA7" w:rsidRPr="00D20881">
        <w:t>.</w:t>
      </w:r>
      <w:r>
        <w:t xml:space="preserve"> на территории республики </w:t>
      </w:r>
      <w:r w:rsidR="009D1BA7" w:rsidRPr="00D20881">
        <w:t xml:space="preserve">приостановлена деятельность 1955 предприятий розничной торговли, 1060 предприятий общественного питания и 350 предприятий сферы услуг. </w:t>
      </w:r>
      <w:r>
        <w:t>После введения первого этапа снятия ограничений с</w:t>
      </w:r>
      <w:r w:rsidR="009D1BA7" w:rsidRPr="00D20881">
        <w:t xml:space="preserve"> 20 июня </w:t>
      </w:r>
      <w:proofErr w:type="spellStart"/>
      <w:r w:rsidR="009D1BA7" w:rsidRPr="00D20881">
        <w:t>т.г</w:t>
      </w:r>
      <w:proofErr w:type="spellEnd"/>
      <w:r w:rsidR="009D1BA7" w:rsidRPr="00D20881">
        <w:t xml:space="preserve">. </w:t>
      </w:r>
      <w:r>
        <w:t>оставались закрытыми</w:t>
      </w:r>
      <w:r w:rsidR="009D1BA7" w:rsidRPr="00D20881">
        <w:t xml:space="preserve"> 420 предприятий розничной торговли, 975 предприятий общественного питания и 350 предприятий сферы услуг</w:t>
      </w:r>
      <w:r>
        <w:t>, на втором этапе с</w:t>
      </w:r>
      <w:r w:rsidR="009D1BA7" w:rsidRPr="00D20881">
        <w:t xml:space="preserve"> 28 июня </w:t>
      </w:r>
      <w:r>
        <w:t xml:space="preserve"> из них открылись лишь около 100 объектов торговли.</w:t>
      </w:r>
    </w:p>
    <w:p w:rsidR="008562AC" w:rsidRDefault="008562AC" w:rsidP="008562AC">
      <w:pPr>
        <w:tabs>
          <w:tab w:val="left" w:pos="851"/>
        </w:tabs>
        <w:ind w:right="-1" w:firstLine="709"/>
        <w:jc w:val="both"/>
      </w:pPr>
      <w:r>
        <w:t xml:space="preserve">Это сказалось на показателях развития потребительского рынка. </w:t>
      </w:r>
    </w:p>
    <w:p w:rsidR="008562AC" w:rsidRPr="00D20881" w:rsidRDefault="008562AC" w:rsidP="008562AC">
      <w:pPr>
        <w:tabs>
          <w:tab w:val="left" w:pos="851"/>
        </w:tabs>
        <w:ind w:right="-1" w:firstLine="709"/>
        <w:jc w:val="both"/>
      </w:pPr>
      <w:r>
        <w:t>Так о</w:t>
      </w:r>
      <w:r w:rsidR="008C523F" w:rsidRPr="00D20881">
        <w:t xml:space="preserve">бщий оборот розничной торговли во всех каналах реализации </w:t>
      </w:r>
      <w:r w:rsidR="004D5E6F" w:rsidRPr="00D20881">
        <w:t xml:space="preserve">в I полугодии 2020 г. составил 74,1 млрд. рублей, или 91,4% (по России – 93,6%) к соответствующему периоду 2019 г. </w:t>
      </w:r>
      <w:r w:rsidR="009D1BA7" w:rsidRPr="00D20881">
        <w:t>Оборот общественного питания в I полугодии 2020 года составил 4072,0 млн. рублей</w:t>
      </w:r>
      <w:r w:rsidR="007B00E8">
        <w:t xml:space="preserve"> или 73,3% к </w:t>
      </w:r>
      <w:r w:rsidR="007B00E8" w:rsidRPr="00D20881">
        <w:t>уровн</w:t>
      </w:r>
      <w:r w:rsidR="007B00E8">
        <w:t>ю</w:t>
      </w:r>
      <w:r w:rsidR="007B00E8" w:rsidRPr="00D20881">
        <w:t xml:space="preserve"> I полугодия 2019 года</w:t>
      </w:r>
      <w:r w:rsidR="007B00E8">
        <w:t>.</w:t>
      </w:r>
      <w:r w:rsidRPr="008562AC">
        <w:t xml:space="preserve"> </w:t>
      </w:r>
      <w:r w:rsidRPr="00D20881">
        <w:t>Оборот розничной торговли на душу населения составил 60,8 тыс. рублей, что на 4,3% меньше уровня соответствующего периода прошлого года (63,5</w:t>
      </w:r>
      <w:r>
        <w:t xml:space="preserve"> </w:t>
      </w:r>
      <w:r w:rsidRPr="00D20881">
        <w:t>тыс. рублей), что связано с ограничительными мероприятиями, в связи с распространением коронавирусной инфекции.</w:t>
      </w:r>
    </w:p>
    <w:p w:rsidR="004D5E6F" w:rsidRPr="00434D5E" w:rsidRDefault="004D5E6F" w:rsidP="004D5E6F">
      <w:pPr>
        <w:tabs>
          <w:tab w:val="left" w:pos="851"/>
        </w:tabs>
        <w:ind w:right="-1" w:firstLine="709"/>
        <w:jc w:val="both"/>
      </w:pPr>
      <w:r w:rsidRPr="00D20881">
        <w:t xml:space="preserve">Среди регионов ПФО в январе-мае 2020 г. по индексу физического объема оборота розничной торговли Чувашия заняла 11 место (60 место среди субъектов Российской Федерации). </w:t>
      </w:r>
    </w:p>
    <w:p w:rsidR="00D31BBA" w:rsidRPr="00D20881" w:rsidRDefault="004D5E6F" w:rsidP="004D5E6F">
      <w:pPr>
        <w:tabs>
          <w:tab w:val="left" w:pos="851"/>
        </w:tabs>
        <w:ind w:right="-1" w:firstLine="709"/>
        <w:jc w:val="both"/>
      </w:pPr>
      <w:r w:rsidRPr="00D20881">
        <w:t xml:space="preserve">В макроструктуре общего оборота розничной торговли на долю непродовольственных товаров в I полугодии 2020 г. приходилось 47,3% (в I полугодии 2019 г. – 51,4%), пищевых продуктов, включая напитки, и табачных изделий – 52,7% (соответственно 48,6%). </w:t>
      </w:r>
      <w:r w:rsidR="007B00E8">
        <w:t>Тенденция снижения доли продажи непродовольственных товаров в структуре товарооборота характеризуется отрицательно. И это, прежде всего, связано с закрытием объектов непродовольственной торговли в период действия режима повышенной готовности.</w:t>
      </w:r>
    </w:p>
    <w:p w:rsidR="00F33BB0" w:rsidRPr="00D20881" w:rsidRDefault="004D5E6F" w:rsidP="008562AC">
      <w:pPr>
        <w:tabs>
          <w:tab w:val="left" w:pos="851"/>
        </w:tabs>
        <w:ind w:right="-1" w:firstLine="709"/>
        <w:jc w:val="both"/>
      </w:pPr>
      <w:r w:rsidRPr="00D20881">
        <w:t xml:space="preserve">Оборот розничной торговли на 96,2% сформировался торгующими организациями и индивидуальными предпринимателями, осуществляющими деятельность в стационарной торговой сети (вне рынка). </w:t>
      </w:r>
      <w:proofErr w:type="gramStart"/>
      <w:r w:rsidR="008562AC">
        <w:t>Тенденция снижения д</w:t>
      </w:r>
      <w:r w:rsidR="00F33BB0" w:rsidRPr="00D20881">
        <w:t>ол</w:t>
      </w:r>
      <w:r w:rsidR="008562AC">
        <w:t>и</w:t>
      </w:r>
      <w:r w:rsidR="00F33BB0" w:rsidRPr="00D20881">
        <w:t xml:space="preserve"> продажи товаров на рынках и ярмарках в </w:t>
      </w:r>
      <w:r w:rsidR="0063148E" w:rsidRPr="00D20881">
        <w:t xml:space="preserve">I </w:t>
      </w:r>
      <w:r w:rsidR="00D31BBA" w:rsidRPr="00D20881">
        <w:t xml:space="preserve">полугодии </w:t>
      </w:r>
      <w:r w:rsidR="0063148E" w:rsidRPr="00D20881">
        <w:t>2020</w:t>
      </w:r>
      <w:r w:rsidR="00034FBB" w:rsidRPr="00D20881">
        <w:t xml:space="preserve"> года</w:t>
      </w:r>
      <w:r w:rsidR="00F33BB0" w:rsidRPr="00D20881">
        <w:t xml:space="preserve"> </w:t>
      </w:r>
      <w:r w:rsidR="008562AC">
        <w:t xml:space="preserve">сохранилась и </w:t>
      </w:r>
      <w:r w:rsidR="00F33BB0" w:rsidRPr="00D20881">
        <w:t>составил</w:t>
      </w:r>
      <w:r w:rsidR="00FC1486" w:rsidRPr="00D20881">
        <w:t>а</w:t>
      </w:r>
      <w:r w:rsidR="008854A9" w:rsidRPr="00D20881">
        <w:t xml:space="preserve"> 3,8 % </w:t>
      </w:r>
      <w:r w:rsidR="00F33BB0" w:rsidRPr="00D20881">
        <w:t>(в 2014 г. -  5,7%, в 2016 г. – 4,6%, в 2017 г</w:t>
      </w:r>
      <w:r w:rsidR="004A566A" w:rsidRPr="00D20881">
        <w:t>.</w:t>
      </w:r>
      <w:r w:rsidR="00F33BB0" w:rsidRPr="00D20881">
        <w:t xml:space="preserve"> – 4,</w:t>
      </w:r>
      <w:r w:rsidR="004A566A" w:rsidRPr="00D20881">
        <w:t>2</w:t>
      </w:r>
      <w:r w:rsidR="00F33BB0" w:rsidRPr="00D20881">
        <w:t>%</w:t>
      </w:r>
      <w:r w:rsidR="00034FBB" w:rsidRPr="00D20881">
        <w:t>, 2018 г. – 4,0%</w:t>
      </w:r>
      <w:r w:rsidR="0063148E" w:rsidRPr="00D20881">
        <w:t>, 2019 - 4,1%</w:t>
      </w:r>
      <w:r w:rsidR="00F33BB0" w:rsidRPr="00D20881">
        <w:t>), что свидетельствует о росте предпочтений покупателей более цивилизованным формам обслуживания за счет сглаживания уровня цен в стационарных объектах торговли и на объектах рыночной торговли (рынки</w:t>
      </w:r>
      <w:proofErr w:type="gramEnd"/>
      <w:r w:rsidR="00F33BB0" w:rsidRPr="00D20881">
        <w:t>, ярмарки).</w:t>
      </w:r>
    </w:p>
    <w:p w:rsidR="00434D5E" w:rsidRDefault="00434D5E" w:rsidP="00434D5E">
      <w:pPr>
        <w:pStyle w:val="af0"/>
        <w:tabs>
          <w:tab w:val="left" w:pos="6237"/>
        </w:tabs>
        <w:rPr>
          <w:lang w:val="ru-RU"/>
        </w:rPr>
      </w:pPr>
    </w:p>
    <w:p w:rsidR="00434D5E" w:rsidRPr="00D20881" w:rsidRDefault="00434D5E" w:rsidP="00434D5E">
      <w:pPr>
        <w:pStyle w:val="af0"/>
        <w:tabs>
          <w:tab w:val="left" w:pos="6237"/>
        </w:tabs>
        <w:rPr>
          <w:lang w:val="ru-RU"/>
        </w:rPr>
      </w:pPr>
      <w:r w:rsidRPr="00D20881">
        <w:rPr>
          <w:lang w:val="ru-RU"/>
        </w:rPr>
        <w:t xml:space="preserve">Формирование оборота розничной торговли </w:t>
      </w:r>
      <w:r w:rsidRPr="00D20881">
        <w:rPr>
          <w:lang w:val="ru-RU"/>
        </w:rPr>
        <w:br/>
      </w:r>
      <w:r w:rsidRPr="00D20881">
        <w:rPr>
          <w:caps w:val="0"/>
          <w:sz w:val="24"/>
          <w:lang w:val="ru-RU"/>
        </w:rPr>
        <w:t>в июне 2020 года</w:t>
      </w:r>
    </w:p>
    <w:p w:rsidR="00434D5E" w:rsidRPr="00D20881" w:rsidRDefault="00434D5E" w:rsidP="00434D5E">
      <w:pPr>
        <w:jc w:val="center"/>
      </w:pPr>
      <w:r w:rsidRPr="00D20881">
        <w:rPr>
          <w:noProof/>
          <w:sz w:val="22"/>
        </w:rPr>
        <w:drawing>
          <wp:inline distT="0" distB="0" distL="0" distR="0" wp14:anchorId="18A4C1AC" wp14:editId="03A6977D">
            <wp:extent cx="2495550" cy="1416393"/>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34D5E" w:rsidRPr="00434D5E" w:rsidRDefault="00434D5E" w:rsidP="008562AC">
      <w:pPr>
        <w:ind w:firstLine="567"/>
        <w:rPr>
          <w:sz w:val="22"/>
          <w:szCs w:val="22"/>
        </w:rPr>
      </w:pPr>
      <w:r w:rsidRPr="00434D5E">
        <w:rPr>
          <w:sz w:val="22"/>
          <w:szCs w:val="22"/>
        </w:rPr>
        <w:t>1 – организации, не относящиеся к субъектам малого предпринимательства</w:t>
      </w:r>
    </w:p>
    <w:p w:rsidR="00434D5E" w:rsidRPr="00434D5E" w:rsidRDefault="00434D5E" w:rsidP="008562AC">
      <w:pPr>
        <w:ind w:firstLine="567"/>
        <w:rPr>
          <w:sz w:val="22"/>
          <w:szCs w:val="22"/>
        </w:rPr>
      </w:pPr>
      <w:r w:rsidRPr="00434D5E">
        <w:rPr>
          <w:sz w:val="22"/>
          <w:szCs w:val="22"/>
        </w:rPr>
        <w:t xml:space="preserve">2 – малые предприятия (включая </w:t>
      </w:r>
      <w:proofErr w:type="spellStart"/>
      <w:r w:rsidRPr="00434D5E">
        <w:rPr>
          <w:sz w:val="22"/>
          <w:szCs w:val="22"/>
        </w:rPr>
        <w:t>микропредприятия</w:t>
      </w:r>
      <w:proofErr w:type="spellEnd"/>
      <w:r w:rsidRPr="00434D5E">
        <w:rPr>
          <w:sz w:val="22"/>
          <w:szCs w:val="22"/>
        </w:rPr>
        <w:t>)</w:t>
      </w:r>
    </w:p>
    <w:p w:rsidR="00434D5E" w:rsidRPr="00434D5E" w:rsidRDefault="00434D5E" w:rsidP="008562AC">
      <w:pPr>
        <w:ind w:firstLine="567"/>
        <w:rPr>
          <w:sz w:val="22"/>
          <w:szCs w:val="22"/>
        </w:rPr>
      </w:pPr>
      <w:r w:rsidRPr="00434D5E">
        <w:rPr>
          <w:sz w:val="22"/>
          <w:szCs w:val="22"/>
        </w:rPr>
        <w:t>3 – индивидуальные предприниматели, реализующие товары вне рынка и  ярмарки  4 – продажа товаров на рынках и ярмарках</w:t>
      </w:r>
    </w:p>
    <w:p w:rsidR="00434D5E" w:rsidRDefault="00434D5E" w:rsidP="00F33BB0">
      <w:pPr>
        <w:ind w:right="-1" w:firstLine="709"/>
        <w:jc w:val="both"/>
      </w:pPr>
    </w:p>
    <w:p w:rsidR="00F33BB0" w:rsidRPr="00D20881" w:rsidRDefault="00F33BB0" w:rsidP="00F33BB0">
      <w:pPr>
        <w:ind w:right="-1" w:firstLine="709"/>
        <w:jc w:val="both"/>
        <w:rPr>
          <w:color w:val="000000"/>
          <w:lang w:val="x-none" w:eastAsia="x-none"/>
        </w:rPr>
      </w:pPr>
      <w:r w:rsidRPr="00D20881">
        <w:t xml:space="preserve">В </w:t>
      </w:r>
      <w:r w:rsidR="00034FBB" w:rsidRPr="00D20881">
        <w:t>20</w:t>
      </w:r>
      <w:r w:rsidR="00DA1B53" w:rsidRPr="00D20881">
        <w:t>20</w:t>
      </w:r>
      <w:r w:rsidR="00034FBB" w:rsidRPr="00D20881">
        <w:t xml:space="preserve"> год</w:t>
      </w:r>
      <w:r w:rsidR="00457EA2" w:rsidRPr="00D20881">
        <w:t>у</w:t>
      </w:r>
      <w:r w:rsidR="00034FBB" w:rsidRPr="00D20881">
        <w:t xml:space="preserve"> </w:t>
      </w:r>
      <w:r w:rsidRPr="00D20881">
        <w:t>рынок продовольствия отличался стабильностью, факты повышенного (ажиотажного) спроса, а также исчезновение отдельных видов товаров наблюдались</w:t>
      </w:r>
      <w:r w:rsidR="008854A9" w:rsidRPr="00D20881">
        <w:t xml:space="preserve"> в начале апреля, но с середины апреля спрос восстановился</w:t>
      </w:r>
      <w:r w:rsidRPr="00D20881">
        <w:t xml:space="preserve">. Ежедневные потребности в продуктах питания и спрос населения на них удовлетворены в полном объеме. </w:t>
      </w:r>
      <w:r w:rsidRPr="00D20881">
        <w:rPr>
          <w:color w:val="000000"/>
          <w:lang w:val="x-none" w:eastAsia="x-none"/>
        </w:rPr>
        <w:t xml:space="preserve">На </w:t>
      </w:r>
      <w:r w:rsidR="00DA1B53" w:rsidRPr="00D20881">
        <w:rPr>
          <w:color w:val="000000"/>
          <w:lang w:val="x-none" w:eastAsia="x-none"/>
        </w:rPr>
        <w:t xml:space="preserve">конец </w:t>
      </w:r>
      <w:r w:rsidR="008854A9" w:rsidRPr="00D20881">
        <w:rPr>
          <w:color w:val="000000"/>
          <w:lang w:val="x-none" w:eastAsia="x-none"/>
        </w:rPr>
        <w:t>июня</w:t>
      </w:r>
      <w:r w:rsidRPr="00D20881">
        <w:rPr>
          <w:color w:val="000000"/>
          <w:lang w:val="x-none" w:eastAsia="x-none"/>
        </w:rPr>
        <w:t xml:space="preserve"> 20</w:t>
      </w:r>
      <w:r w:rsidR="003152B7" w:rsidRPr="00D20881">
        <w:rPr>
          <w:color w:val="000000"/>
          <w:lang w:val="x-none" w:eastAsia="x-none"/>
        </w:rPr>
        <w:t>20</w:t>
      </w:r>
      <w:r w:rsidRPr="00D20881">
        <w:rPr>
          <w:color w:val="000000"/>
          <w:lang w:val="x-none" w:eastAsia="x-none"/>
        </w:rPr>
        <w:t xml:space="preserve"> года в организациях розничной торговли имелось товарных запасов на </w:t>
      </w:r>
      <w:r w:rsidR="00FB1AF3" w:rsidRPr="00D20881">
        <w:rPr>
          <w:color w:val="000000"/>
          <w:lang w:val="x-none" w:eastAsia="x-none"/>
        </w:rPr>
        <w:t xml:space="preserve">11091,9 </w:t>
      </w:r>
      <w:r w:rsidRPr="00D20881">
        <w:rPr>
          <w:color w:val="000000"/>
          <w:lang w:val="x-none" w:eastAsia="x-none"/>
        </w:rPr>
        <w:t>млн. рублей, или на 4</w:t>
      </w:r>
      <w:r w:rsidR="00FB1AF3" w:rsidRPr="00D20881">
        <w:rPr>
          <w:color w:val="000000"/>
          <w:lang w:val="x-none" w:eastAsia="x-none"/>
        </w:rPr>
        <w:t>7</w:t>
      </w:r>
      <w:r w:rsidRPr="00D20881">
        <w:rPr>
          <w:color w:val="000000"/>
          <w:lang w:val="x-none" w:eastAsia="x-none"/>
        </w:rPr>
        <w:t xml:space="preserve"> дн</w:t>
      </w:r>
      <w:r w:rsidR="00F80390" w:rsidRPr="00D20881">
        <w:rPr>
          <w:color w:val="000000"/>
          <w:lang w:val="x-none" w:eastAsia="x-none"/>
        </w:rPr>
        <w:t>ей</w:t>
      </w:r>
      <w:r w:rsidRPr="00D20881">
        <w:rPr>
          <w:color w:val="000000"/>
          <w:lang w:val="x-none" w:eastAsia="x-none"/>
        </w:rPr>
        <w:t xml:space="preserve"> торговли.</w:t>
      </w:r>
      <w:r w:rsidR="00FB1AF3" w:rsidRPr="00D20881">
        <w:rPr>
          <w:color w:val="000000"/>
          <w:lang w:val="x-none" w:eastAsia="x-none"/>
        </w:rPr>
        <w:t xml:space="preserve"> </w:t>
      </w:r>
      <w:r w:rsidRPr="00D20881">
        <w:rPr>
          <w:color w:val="000000"/>
          <w:lang w:val="x-none" w:eastAsia="x-none"/>
        </w:rPr>
        <w:t xml:space="preserve"> В </w:t>
      </w:r>
      <w:r w:rsidR="00DA1B53" w:rsidRPr="00D20881">
        <w:rPr>
          <w:color w:val="000000"/>
          <w:lang w:val="x-none" w:eastAsia="x-none"/>
        </w:rPr>
        <w:t xml:space="preserve">I </w:t>
      </w:r>
      <w:r w:rsidR="00FB1AF3" w:rsidRPr="00D20881">
        <w:rPr>
          <w:color w:val="000000"/>
          <w:lang w:val="x-none" w:eastAsia="x-none"/>
        </w:rPr>
        <w:t>полугодии</w:t>
      </w:r>
      <w:r w:rsidR="00DA1B53" w:rsidRPr="00D20881">
        <w:rPr>
          <w:color w:val="000000"/>
          <w:lang w:val="x-none" w:eastAsia="x-none"/>
        </w:rPr>
        <w:t xml:space="preserve"> 2020</w:t>
      </w:r>
      <w:r w:rsidRPr="00D20881">
        <w:rPr>
          <w:color w:val="000000"/>
          <w:lang w:val="x-none" w:eastAsia="x-none"/>
        </w:rPr>
        <w:t xml:space="preserve"> года наибольший объем товарных запасов в розничной торговли отмечен в </w:t>
      </w:r>
      <w:r w:rsidR="00FB1AF3" w:rsidRPr="00D20881">
        <w:rPr>
          <w:color w:val="000000"/>
          <w:lang w:val="x-none" w:eastAsia="x-none"/>
        </w:rPr>
        <w:t>апреле</w:t>
      </w:r>
      <w:r w:rsidRPr="00D20881">
        <w:rPr>
          <w:color w:val="000000"/>
          <w:lang w:val="x-none" w:eastAsia="x-none"/>
        </w:rPr>
        <w:t xml:space="preserve"> (5</w:t>
      </w:r>
      <w:r w:rsidR="00FB1AF3" w:rsidRPr="00D20881">
        <w:rPr>
          <w:color w:val="000000"/>
          <w:lang w:val="x-none" w:eastAsia="x-none"/>
        </w:rPr>
        <w:t>6</w:t>
      </w:r>
      <w:r w:rsidRPr="00D20881">
        <w:rPr>
          <w:color w:val="000000"/>
          <w:lang w:val="x-none" w:eastAsia="x-none"/>
        </w:rPr>
        <w:t xml:space="preserve"> дней).</w:t>
      </w:r>
    </w:p>
    <w:p w:rsidR="009D1BA7" w:rsidRPr="00D20881" w:rsidRDefault="009D1BA7" w:rsidP="00BA6B52">
      <w:pPr>
        <w:ind w:right="-1" w:firstLine="709"/>
        <w:jc w:val="both"/>
        <w:rPr>
          <w:bCs/>
        </w:rPr>
      </w:pPr>
      <w:r w:rsidRPr="00D20881">
        <w:rPr>
          <w:bCs/>
        </w:rPr>
        <w:t xml:space="preserve">Общий оборот оптовой торговли  в I полугодии 2020 года составил 85291,4 млн. рублей, или 99,0% к I полугодию 2019 года. В общем объеме оборота оптовой торговли на долю организаций, не относящихся к субъектам малого предпринимательства, приходилось 49,4%, на долю субъектов малого предпринимательства – 50,6%. </w:t>
      </w:r>
    </w:p>
    <w:p w:rsidR="00296B5B" w:rsidRPr="00434D5E" w:rsidRDefault="00296B5B" w:rsidP="00296B5B">
      <w:pPr>
        <w:tabs>
          <w:tab w:val="left" w:pos="851"/>
        </w:tabs>
        <w:ind w:right="-1" w:firstLine="709"/>
        <w:jc w:val="both"/>
      </w:pPr>
      <w:proofErr w:type="gramStart"/>
      <w:r w:rsidRPr="00D20881">
        <w:t xml:space="preserve">Объем платных услуг населению в I полугодии 2020 г. составил 23,4 млрд. рублей, или 87% (по России – 80,1%) к соответствующему периоду 2019 г. Снизились объемы юридических услуг (99,5% к I полугодию 2019 г.), </w:t>
      </w:r>
      <w:proofErr w:type="spellStart"/>
      <w:r w:rsidRPr="00D20881">
        <w:t>телекоммунальные</w:t>
      </w:r>
      <w:proofErr w:type="spellEnd"/>
      <w:r w:rsidRPr="00D20881">
        <w:t xml:space="preserve"> (98,8 %), жилищных (97,7%), бытовых (87%), почтовой связи (84,7%), системы образования (72,9%), медицинских (70,3%), транспортных (64,9%), услуги гостиниц и аналогичных средств размещения (54,1%) и другие.</w:t>
      </w:r>
      <w:proofErr w:type="gramEnd"/>
      <w:r w:rsidRPr="00D20881">
        <w:t xml:space="preserve"> Увеличились объемы ветеринарных услуг (113% к I полугодию 2019 г.), услуги, предоставляемые гражданам пожилого возраста и инвалидам (107%), коммунальных (102,3%). </w:t>
      </w:r>
    </w:p>
    <w:p w:rsidR="008562AC" w:rsidRDefault="00296B5B" w:rsidP="00296B5B">
      <w:pPr>
        <w:tabs>
          <w:tab w:val="left" w:pos="851"/>
        </w:tabs>
        <w:ind w:right="-1" w:firstLine="709"/>
        <w:jc w:val="both"/>
      </w:pPr>
      <w:r w:rsidRPr="00D20881">
        <w:t xml:space="preserve">Среди субъектов ПФО по индексу физического объема платных услуг населению в январе-мае 2020 г. Чувашия заняла 5 место (среди субъектов Российской Федерации – 29 место). </w:t>
      </w:r>
    </w:p>
    <w:bookmarkEnd w:id="0"/>
    <w:p w:rsidR="00F33BB0" w:rsidRPr="00D20881" w:rsidRDefault="005C4BC2" w:rsidP="00296B5B">
      <w:pPr>
        <w:widowControl w:val="0"/>
        <w:ind w:right="-1" w:firstLine="708"/>
        <w:jc w:val="both"/>
      </w:pPr>
      <w:r>
        <w:t>В</w:t>
      </w:r>
      <w:r w:rsidR="00873BFE" w:rsidRPr="00D20881">
        <w:t xml:space="preserve"> </w:t>
      </w:r>
      <w:r w:rsidR="00296B5B" w:rsidRPr="00D20881">
        <w:t>1 полугоди</w:t>
      </w:r>
      <w:r>
        <w:t>и</w:t>
      </w:r>
      <w:r w:rsidR="00296B5B" w:rsidRPr="00D20881">
        <w:t xml:space="preserve"> </w:t>
      </w:r>
      <w:proofErr w:type="spellStart"/>
      <w:r w:rsidR="00296B5B" w:rsidRPr="00D20881">
        <w:t>т.г</w:t>
      </w:r>
      <w:proofErr w:type="spellEnd"/>
      <w:r w:rsidR="00296B5B" w:rsidRPr="00D20881">
        <w:t>.</w:t>
      </w:r>
      <w:r w:rsidR="00BB31B2" w:rsidRPr="00D20881">
        <w:t xml:space="preserve"> </w:t>
      </w:r>
      <w:r w:rsidR="00F33BB0" w:rsidRPr="00D20881">
        <w:t xml:space="preserve">открыто и реконструировано </w:t>
      </w:r>
      <w:r w:rsidR="0068385A" w:rsidRPr="00D20881">
        <w:t>142</w:t>
      </w:r>
      <w:r w:rsidR="00F33BB0" w:rsidRPr="00D20881">
        <w:t xml:space="preserve"> объект</w:t>
      </w:r>
      <w:r w:rsidR="0068385A" w:rsidRPr="00D20881">
        <w:t>а</w:t>
      </w:r>
      <w:r w:rsidR="00F33BB0" w:rsidRPr="00D20881">
        <w:t xml:space="preserve"> потребительского рынка</w:t>
      </w:r>
      <w:r>
        <w:t>, в основном по продаже продуктов питания</w:t>
      </w:r>
      <w:r w:rsidR="00873BFE" w:rsidRPr="00D20881">
        <w:t xml:space="preserve">, создано более </w:t>
      </w:r>
      <w:r w:rsidR="0068385A" w:rsidRPr="00D20881">
        <w:t>5</w:t>
      </w:r>
      <w:r>
        <w:t>0</w:t>
      </w:r>
      <w:r w:rsidR="0068385A" w:rsidRPr="00D20881">
        <w:t>0</w:t>
      </w:r>
      <w:r w:rsidR="00873BFE" w:rsidRPr="00D20881">
        <w:t xml:space="preserve"> рабочих мест</w:t>
      </w:r>
      <w:r w:rsidR="00F33BB0" w:rsidRPr="00D20881">
        <w:t xml:space="preserve">, обеспеченность населения площадью торговых объектов на 1000 чел. достигла </w:t>
      </w:r>
      <w:r w:rsidR="003152B7" w:rsidRPr="00D20881">
        <w:t>796,6</w:t>
      </w:r>
      <w:r w:rsidR="00F33BB0" w:rsidRPr="00D20881">
        <w:t xml:space="preserve"> кв. м., что в </w:t>
      </w:r>
      <w:r w:rsidR="003D736C" w:rsidRPr="00D20881">
        <w:t>2,</w:t>
      </w:r>
      <w:r w:rsidR="003152B7" w:rsidRPr="00D20881">
        <w:t>5</w:t>
      </w:r>
      <w:r w:rsidR="00F33BB0" w:rsidRPr="00D20881">
        <w:t xml:space="preserve"> раза выше установленного норматива (317,</w:t>
      </w:r>
      <w:r w:rsidR="003D736C" w:rsidRPr="00D20881">
        <w:t>5</w:t>
      </w:r>
      <w:r w:rsidR="00F33BB0" w:rsidRPr="00D20881">
        <w:t xml:space="preserve"> кв. м.). </w:t>
      </w:r>
    </w:p>
    <w:p w:rsidR="00F33BB0" w:rsidRPr="00D20881" w:rsidRDefault="00F33BB0" w:rsidP="00F33BB0">
      <w:pPr>
        <w:widowControl w:val="0"/>
        <w:ind w:right="-1" w:firstLine="851"/>
        <w:jc w:val="both"/>
      </w:pPr>
      <w:r w:rsidRPr="00D20881">
        <w:t xml:space="preserve">Развитие розничной торговой сети в сельской местности происходит за счет расширения развозной торговли, а также дистанционной торговли (в том числе по заказам), в основном силами организаций системы потребительской кооперации. Кооперативные организации обеспечивают по заявкам сельское население и крестьянские (фермерские) хозяйства транспортными средствами, строительными материалами, сельскохозяйственной техникой, инвентарем, семенами овощных культур и удобрениями. Организации и предприятия Чувашпотребсоюза обеспечивают занятостью в сельской местности </w:t>
      </w:r>
      <w:r w:rsidR="0051757C" w:rsidRPr="00D20881">
        <w:t>около 6</w:t>
      </w:r>
      <w:r w:rsidRPr="00D20881">
        <w:t xml:space="preserve"> тысяч человек.</w:t>
      </w:r>
      <w:r w:rsidR="005C4BC2">
        <w:t xml:space="preserve"> </w:t>
      </w:r>
      <w:proofErr w:type="gramStart"/>
      <w:r w:rsidR="005C4BC2">
        <w:t xml:space="preserve">По итогам всероссийского соревнования «За эффективное развитие отраслей деятельности среди региональных союзов системы Центросоюза Российской федерации» за 1 квартал 2020 года </w:t>
      </w:r>
      <w:proofErr w:type="spellStart"/>
      <w:r w:rsidR="005C4BC2">
        <w:t>Чувашпотребсоюзу</w:t>
      </w:r>
      <w:proofErr w:type="spellEnd"/>
      <w:r w:rsidR="005C4BC2">
        <w:t xml:space="preserve"> присуждено 1 место за участие в объединенных закупках, 2 место – за развитие заготовительной деятельности. 3 место – за развитие производственной деятельности,. Чувашпотребсоюз является лидером среди региональных </w:t>
      </w:r>
      <w:proofErr w:type="spellStart"/>
      <w:r w:rsidR="005C4BC2">
        <w:t>собзов</w:t>
      </w:r>
      <w:proofErr w:type="spellEnd"/>
      <w:r w:rsidR="005C4BC2">
        <w:t xml:space="preserve"> Приволжского </w:t>
      </w:r>
      <w:proofErr w:type="spellStart"/>
      <w:r w:rsidR="005C4BC2">
        <w:t>оокруга</w:t>
      </w:r>
      <w:proofErr w:type="spellEnd"/>
      <w:r w:rsidR="005C4BC2">
        <w:t>.</w:t>
      </w:r>
      <w:proofErr w:type="gramEnd"/>
      <w:r w:rsidR="005C4BC2">
        <w:t xml:space="preserve"> По итогам соревнования </w:t>
      </w:r>
      <w:proofErr w:type="spellStart"/>
      <w:r w:rsidR="005C4BC2">
        <w:t>Чувашпотребсоюзу</w:t>
      </w:r>
      <w:proofErr w:type="spellEnd"/>
      <w:r w:rsidR="005C4BC2">
        <w:t xml:space="preserve"> присуждено 1 место за развитие общей деятельности среди союзов округа.</w:t>
      </w:r>
    </w:p>
    <w:p w:rsidR="00F33BB0" w:rsidRPr="0085222C" w:rsidRDefault="00F33BB0" w:rsidP="009C702C">
      <w:pPr>
        <w:widowControl w:val="0"/>
        <w:autoSpaceDE w:val="0"/>
        <w:autoSpaceDN w:val="0"/>
        <w:adjustRightInd w:val="0"/>
        <w:ind w:right="-1" w:firstLine="916"/>
        <w:jc w:val="both"/>
        <w:rPr>
          <w:color w:val="000000"/>
        </w:rPr>
      </w:pPr>
      <w:r w:rsidRPr="00D20881">
        <w:t>Прогрессирующее развитие информационных технологий, широкое распространение информационно-</w:t>
      </w:r>
      <w:r w:rsidR="008623D4" w:rsidRPr="00D20881">
        <w:t>телекоммуникационной</w:t>
      </w:r>
      <w:r w:rsidRPr="00D20881">
        <w:t xml:space="preserve"> сети Ин</w:t>
      </w:r>
      <w:r w:rsidR="005C4BC2">
        <w:t xml:space="preserve">тернет, информатизация общества, а также отсутствие запретов по дистанционной торговле в период реализации ограничительных мер </w:t>
      </w:r>
      <w:r w:rsidR="005C4BC2" w:rsidRPr="00D20881">
        <w:t>способств</w:t>
      </w:r>
      <w:r w:rsidR="005C4BC2">
        <w:t>овало</w:t>
      </w:r>
      <w:r w:rsidRPr="00D20881">
        <w:t xml:space="preserve"> развитию</w:t>
      </w:r>
      <w:r w:rsidR="00BB31B2" w:rsidRPr="00D20881">
        <w:t xml:space="preserve"> </w:t>
      </w:r>
      <w:r w:rsidR="005C4BC2">
        <w:t xml:space="preserve">в республике </w:t>
      </w:r>
      <w:r w:rsidR="00BB31B2" w:rsidRPr="00D20881">
        <w:t xml:space="preserve">более </w:t>
      </w:r>
      <w:r w:rsidR="00296B5B" w:rsidRPr="00D20881">
        <w:t>5</w:t>
      </w:r>
      <w:r w:rsidR="00682DA0" w:rsidRPr="00D20881">
        <w:t>00</w:t>
      </w:r>
      <w:r w:rsidR="00BB31B2" w:rsidRPr="00D20881">
        <w:t xml:space="preserve"> </w:t>
      </w:r>
      <w:proofErr w:type="gramStart"/>
      <w:r w:rsidR="00BB31B2" w:rsidRPr="00D20881">
        <w:t>интернет-магазинов</w:t>
      </w:r>
      <w:proofErr w:type="gramEnd"/>
      <w:r w:rsidR="005C4BC2">
        <w:t xml:space="preserve">, развитию услуги по </w:t>
      </w:r>
      <w:r w:rsidR="005C4BC2" w:rsidRPr="00D20881">
        <w:rPr>
          <w:color w:val="000000"/>
        </w:rPr>
        <w:t>доставк</w:t>
      </w:r>
      <w:r w:rsidR="005C4BC2">
        <w:rPr>
          <w:color w:val="000000"/>
        </w:rPr>
        <w:t>е товаров</w:t>
      </w:r>
      <w:r w:rsidR="005C4BC2" w:rsidRPr="00D20881">
        <w:rPr>
          <w:color w:val="000000"/>
        </w:rPr>
        <w:t xml:space="preserve"> на дом</w:t>
      </w:r>
      <w:r w:rsidR="005C4BC2">
        <w:rPr>
          <w:color w:val="000000"/>
        </w:rPr>
        <w:t>.</w:t>
      </w:r>
      <w:r w:rsidR="009C702C">
        <w:rPr>
          <w:color w:val="000000"/>
        </w:rPr>
        <w:t xml:space="preserve"> </w:t>
      </w:r>
      <w:r w:rsidRPr="00D20881">
        <w:rPr>
          <w:color w:val="000000"/>
        </w:rPr>
        <w:t>В о</w:t>
      </w:r>
      <w:r w:rsidRPr="00D20881">
        <w:rPr>
          <w:iCs/>
          <w:color w:val="000000"/>
        </w:rPr>
        <w:t>рганизациях розничной торговли продолжается работа по привлечению покупателей путем проведения таких</w:t>
      </w:r>
      <w:r w:rsidRPr="00D20881">
        <w:rPr>
          <w:color w:val="000000"/>
        </w:rPr>
        <w:t xml:space="preserve"> форм торговли, как распродажи, скидки, акции. </w:t>
      </w:r>
    </w:p>
    <w:p w:rsidR="00F33BB0" w:rsidRPr="0085222C" w:rsidRDefault="00F33BB0" w:rsidP="009C702C">
      <w:pPr>
        <w:widowControl w:val="0"/>
        <w:ind w:right="-1" w:firstLine="851"/>
        <w:jc w:val="both"/>
        <w:rPr>
          <w:color w:val="000000"/>
        </w:rPr>
      </w:pPr>
      <w:r w:rsidRPr="0085222C">
        <w:rPr>
          <w:color w:val="000000"/>
        </w:rPr>
        <w:t xml:space="preserve">Все больше в магазинах появляется продукция местных товаропроизводителей, экологически чистых и пользующихся спросом у населения. Этому способствует активное взаимодействие органов государственной власти с производственными и торгующими </w:t>
      </w:r>
      <w:r w:rsidRPr="0085222C">
        <w:rPr>
          <w:color w:val="000000"/>
        </w:rPr>
        <w:lastRenderedPageBreak/>
        <w:t xml:space="preserve">организациями. </w:t>
      </w:r>
      <w:proofErr w:type="gramStart"/>
      <w:r w:rsidRPr="0085222C">
        <w:rPr>
          <w:color w:val="000000"/>
        </w:rPr>
        <w:t>Созданная на базе Минэкономразвития Чувашии переговорная площадка для товаропроизводителей и торговых сетей позволила ускорить процессы заключения договоров поставки и увеличить в торговых сетях представленность товаров отечественных товаропроизводителей.</w:t>
      </w:r>
      <w:r w:rsidR="009C702C">
        <w:rPr>
          <w:color w:val="000000"/>
        </w:rPr>
        <w:t xml:space="preserve"> </w:t>
      </w:r>
      <w:r w:rsidR="009C702C" w:rsidRPr="009C702C">
        <w:rPr>
          <w:color w:val="000000"/>
        </w:rPr>
        <w:t xml:space="preserve">21 мая 2020 г. компанией  X5 </w:t>
      </w:r>
      <w:proofErr w:type="spellStart"/>
      <w:r w:rsidR="009C702C" w:rsidRPr="009C702C">
        <w:rPr>
          <w:color w:val="000000"/>
        </w:rPr>
        <w:t>Retail</w:t>
      </w:r>
      <w:proofErr w:type="spellEnd"/>
      <w:r w:rsidR="009C702C" w:rsidRPr="009C702C">
        <w:rPr>
          <w:color w:val="000000"/>
        </w:rPr>
        <w:t xml:space="preserve"> </w:t>
      </w:r>
      <w:proofErr w:type="spellStart"/>
      <w:r w:rsidR="009C702C" w:rsidRPr="009C702C">
        <w:rPr>
          <w:color w:val="000000"/>
        </w:rPr>
        <w:t>Group</w:t>
      </w:r>
      <w:proofErr w:type="spellEnd"/>
      <w:r w:rsidR="009C702C" w:rsidRPr="009C702C">
        <w:rPr>
          <w:color w:val="000000"/>
        </w:rPr>
        <w:t xml:space="preserve"> (торговые сети «Пятерочка», «Перекресток», «Карусель») проведен открытый </w:t>
      </w:r>
      <w:proofErr w:type="spellStart"/>
      <w:r w:rsidR="009C702C" w:rsidRPr="009C702C">
        <w:rPr>
          <w:color w:val="000000"/>
        </w:rPr>
        <w:t>вебинар</w:t>
      </w:r>
      <w:proofErr w:type="spellEnd"/>
      <w:r w:rsidR="009C702C" w:rsidRPr="009C702C">
        <w:rPr>
          <w:color w:val="000000"/>
        </w:rPr>
        <w:t xml:space="preserve"> для товаропроизводителей Чувашской Республики по теме «Как стать поставщиком торговой смети «Пятерочка».</w:t>
      </w:r>
      <w:proofErr w:type="gramEnd"/>
      <w:r w:rsidR="009C702C">
        <w:rPr>
          <w:color w:val="000000"/>
        </w:rPr>
        <w:t xml:space="preserve"> </w:t>
      </w:r>
      <w:r w:rsidR="009C702C" w:rsidRPr="009C702C">
        <w:rPr>
          <w:color w:val="000000"/>
        </w:rPr>
        <w:t xml:space="preserve">Участников </w:t>
      </w:r>
      <w:proofErr w:type="spellStart"/>
      <w:r w:rsidR="009C702C" w:rsidRPr="009C702C">
        <w:rPr>
          <w:color w:val="000000"/>
        </w:rPr>
        <w:t>вебинара</w:t>
      </w:r>
      <w:proofErr w:type="spellEnd"/>
      <w:r w:rsidR="009C702C" w:rsidRPr="009C702C">
        <w:rPr>
          <w:color w:val="000000"/>
        </w:rPr>
        <w:t xml:space="preserve"> приветствовал </w:t>
      </w:r>
      <w:proofErr w:type="spellStart"/>
      <w:r w:rsidR="009C702C" w:rsidRPr="009C702C">
        <w:rPr>
          <w:color w:val="000000"/>
        </w:rPr>
        <w:t>А</w:t>
      </w:r>
      <w:r w:rsidR="009C702C">
        <w:rPr>
          <w:color w:val="000000"/>
        </w:rPr>
        <w:t>.Г.</w:t>
      </w:r>
      <w:r w:rsidR="009C702C" w:rsidRPr="009C702C">
        <w:rPr>
          <w:color w:val="000000"/>
        </w:rPr>
        <w:t>Аксаков</w:t>
      </w:r>
      <w:proofErr w:type="spellEnd"/>
      <w:r w:rsidR="009C702C" w:rsidRPr="009C702C">
        <w:rPr>
          <w:color w:val="000000"/>
        </w:rPr>
        <w:t xml:space="preserve"> - депутат Государственной думы Федерального собрания Российской Федерации</w:t>
      </w:r>
      <w:r w:rsidR="009C702C">
        <w:rPr>
          <w:color w:val="000000"/>
        </w:rPr>
        <w:t xml:space="preserve">. </w:t>
      </w:r>
      <w:r w:rsidR="009C702C" w:rsidRPr="009C702C">
        <w:rPr>
          <w:color w:val="000000"/>
        </w:rPr>
        <w:t xml:space="preserve">В </w:t>
      </w:r>
      <w:proofErr w:type="spellStart"/>
      <w:r w:rsidR="009C702C" w:rsidRPr="009C702C">
        <w:rPr>
          <w:color w:val="000000"/>
        </w:rPr>
        <w:t>вебинаре</w:t>
      </w:r>
      <w:proofErr w:type="spellEnd"/>
      <w:r w:rsidR="009C702C" w:rsidRPr="009C702C">
        <w:rPr>
          <w:color w:val="000000"/>
        </w:rPr>
        <w:t xml:space="preserve"> приняли участие бол</w:t>
      </w:r>
      <w:r w:rsidR="009C702C">
        <w:rPr>
          <w:color w:val="000000"/>
        </w:rPr>
        <w:t>ее 20 производителей республики</w:t>
      </w:r>
      <w:r w:rsidR="009C702C" w:rsidRPr="009C702C">
        <w:rPr>
          <w:color w:val="000000"/>
        </w:rPr>
        <w:t>.</w:t>
      </w:r>
    </w:p>
    <w:p w:rsidR="00F33BB0" w:rsidRDefault="00F33BB0" w:rsidP="00F33BB0">
      <w:pPr>
        <w:widowControl w:val="0"/>
        <w:ind w:right="-1" w:firstLine="851"/>
        <w:jc w:val="both"/>
      </w:pPr>
      <w:r w:rsidRPr="0085222C">
        <w:t xml:space="preserve">Большое внимание уделяется организации мероприятий, направленных на повышение квалификации и профессионализма руководителей и специалистов сферы потребительского рынка. </w:t>
      </w:r>
      <w:proofErr w:type="gramStart"/>
      <w:r w:rsidRPr="0085222C">
        <w:t>Проведены круглы</w:t>
      </w:r>
      <w:r w:rsidR="00434D5E">
        <w:t>е</w:t>
      </w:r>
      <w:r w:rsidRPr="0085222C">
        <w:t xml:space="preserve"> стол</w:t>
      </w:r>
      <w:r w:rsidR="00434D5E">
        <w:t>ы</w:t>
      </w:r>
      <w:r w:rsidRPr="0085222C">
        <w:t xml:space="preserve"> с представителями организаций потребительского рынка по вопросам защиты прав потребителей, </w:t>
      </w:r>
      <w:r w:rsidR="009C40CA" w:rsidRPr="0085222C">
        <w:t xml:space="preserve">публичные обсуждения результатов правоприменительной практики при осуществлении контрольно-надзорной деятельности, </w:t>
      </w:r>
      <w:r w:rsidRPr="0085222C">
        <w:t>семинары</w:t>
      </w:r>
      <w:r w:rsidR="0051757C" w:rsidRPr="0085222C">
        <w:t xml:space="preserve"> и совещания </w:t>
      </w:r>
      <w:r w:rsidRPr="0085222C">
        <w:t xml:space="preserve"> по вопросам полномочий органов государственной власти субъектов Российской Федерации и органов местного самоуправления в области регулирования торговой деятельности</w:t>
      </w:r>
      <w:r w:rsidRPr="00434D5E">
        <w:t>,</w:t>
      </w:r>
      <w:r w:rsidR="00C0397B" w:rsidRPr="0085222C">
        <w:rPr>
          <w:lang w:val="en-US"/>
        </w:rPr>
        <w:t> </w:t>
      </w:r>
      <w:r w:rsidR="0051757C" w:rsidRPr="0085222C">
        <w:t>заседани</w:t>
      </w:r>
      <w:r w:rsidR="00F65B4C">
        <w:t>е</w:t>
      </w:r>
      <w:r w:rsidR="0051757C" w:rsidRPr="0085222C">
        <w:t xml:space="preserve"> Координационного совета по защите прав потребителей при Главе Чувашской Республики.</w:t>
      </w:r>
      <w:proofErr w:type="gramEnd"/>
      <w:r w:rsidR="00434D5E">
        <w:t xml:space="preserve"> С апреля </w:t>
      </w:r>
      <w:proofErr w:type="spellStart"/>
      <w:r w:rsidR="00434D5E">
        <w:t>т.г</w:t>
      </w:r>
      <w:proofErr w:type="spellEnd"/>
      <w:r w:rsidR="00434D5E">
        <w:t xml:space="preserve">. проводились </w:t>
      </w:r>
      <w:r w:rsidR="00434D5E" w:rsidRPr="00434D5E">
        <w:t>селекторн</w:t>
      </w:r>
      <w:r w:rsidR="00434D5E">
        <w:t>ые</w:t>
      </w:r>
      <w:r w:rsidR="00434D5E" w:rsidRPr="00434D5E">
        <w:t xml:space="preserve"> совещание </w:t>
      </w:r>
      <w:r w:rsidR="00434D5E">
        <w:t>с организациями торговли</w:t>
      </w:r>
      <w:r w:rsidR="00434D5E" w:rsidRPr="00434D5E">
        <w:t xml:space="preserve"> в формате видеоконференци</w:t>
      </w:r>
      <w:r w:rsidR="00434D5E">
        <w:t>й</w:t>
      </w:r>
      <w:r w:rsidR="00434D5E" w:rsidRPr="00434D5E">
        <w:t>.</w:t>
      </w:r>
    </w:p>
    <w:p w:rsidR="009C702C" w:rsidRDefault="009C702C" w:rsidP="009C702C">
      <w:pPr>
        <w:widowControl w:val="0"/>
        <w:ind w:right="-1" w:firstLine="851"/>
        <w:jc w:val="both"/>
      </w:pPr>
      <w:r>
        <w:t>Огромная работа проводится по популяризации чувашской национальной кухни и повышения профессионализма работников сферы общественного питания. В рамках празднования 100-летия образования Чувашской автономной области Ассоциация кулинаров Чувашской Республики совместно с Ассоциациями поваров Республик Узбекистан</w:t>
      </w:r>
      <w:r w:rsidR="00BC0870">
        <w:t>а</w:t>
      </w:r>
      <w:r>
        <w:t xml:space="preserve">, </w:t>
      </w:r>
      <w:r w:rsidR="00BC0870">
        <w:t xml:space="preserve">Казахстана, </w:t>
      </w:r>
      <w:r>
        <w:t xml:space="preserve">Израиля, Республики Якутия в июне </w:t>
      </w:r>
      <w:bookmarkStart w:id="1" w:name="_GoBack"/>
      <w:bookmarkEnd w:id="1"/>
      <w:proofErr w:type="spellStart"/>
      <w:r>
        <w:t>т.г</w:t>
      </w:r>
      <w:proofErr w:type="spellEnd"/>
      <w:r>
        <w:t>. проведены кулинарные мастер-классы по приготовлению национальных блюд в он-</w:t>
      </w:r>
      <w:proofErr w:type="spellStart"/>
      <w:r>
        <w:t>лайн</w:t>
      </w:r>
      <w:proofErr w:type="spellEnd"/>
      <w:r>
        <w:t xml:space="preserve"> режиме.</w:t>
      </w:r>
    </w:p>
    <w:p w:rsidR="009C702C" w:rsidRDefault="007600EF" w:rsidP="00F33BB0">
      <w:pPr>
        <w:widowControl w:val="0"/>
        <w:ind w:right="-1" w:firstLine="851"/>
        <w:jc w:val="both"/>
      </w:pPr>
      <w:r>
        <w:t xml:space="preserve">Серьезное внимание уделяется развитию системы защиты прав потребителей. </w:t>
      </w:r>
      <w:proofErr w:type="gramStart"/>
      <w:r>
        <w:t xml:space="preserve">В марте </w:t>
      </w:r>
      <w:proofErr w:type="spellStart"/>
      <w:r>
        <w:t>т.г</w:t>
      </w:r>
      <w:proofErr w:type="spellEnd"/>
      <w:r>
        <w:t>.</w:t>
      </w:r>
      <w:r w:rsidRPr="007600EF">
        <w:t xml:space="preserve"> в Минэкономразвития Чувашии проведен «круглый стол» по теме Всемирного Дня защиты прав потребителей в 2020 году «Рациональный потребитель» с представителями органов местного самоуправления Чувашской Республики, торговых сетей и общественных организаций в</w:t>
      </w:r>
      <w:r>
        <w:t xml:space="preserve"> сфере защиты прав потребителей, издана брошюра по вопросам защиты прав потребителей в сферах оказания жилищно-коммунальных услуг, медицинских услуг и транспортных услуг.</w:t>
      </w:r>
      <w:proofErr w:type="gramEnd"/>
      <w:r>
        <w:t xml:space="preserve"> Подготовлены и выданы в эфир 3 телеролика, посвященных повышению потребительских знаний жителей Чувашии в сферах торговли, общественного питания и бытового обслуживания.</w:t>
      </w:r>
    </w:p>
    <w:p w:rsidR="007600EF" w:rsidRPr="0085222C" w:rsidRDefault="007600EF" w:rsidP="00F33BB0">
      <w:pPr>
        <w:widowControl w:val="0"/>
        <w:ind w:right="-1" w:firstLine="851"/>
        <w:jc w:val="both"/>
      </w:pPr>
      <w:r>
        <w:t>Проведена огромная разъяснительная работа по мерам поддержки субъектов предпринимательства в сферах торговли и услуг, пострадавших в связи с введением ограничительных мер по распространению коронавирусной инфекции, а также реализации мер по обеспечению противоэпидемических мер на объектах потребительского рынка.</w:t>
      </w:r>
    </w:p>
    <w:p w:rsidR="00F33BB0" w:rsidRPr="0085222C" w:rsidRDefault="00F33BB0" w:rsidP="00F33BB0">
      <w:pPr>
        <w:widowControl w:val="0"/>
        <w:ind w:right="-1" w:firstLine="851"/>
        <w:jc w:val="both"/>
        <w:rPr>
          <w:color w:val="000000"/>
        </w:rPr>
      </w:pPr>
      <w:r w:rsidRPr="0085222C">
        <w:rPr>
          <w:color w:val="000000"/>
        </w:rPr>
        <w:t>Основными задачами на 20</w:t>
      </w:r>
      <w:r w:rsidR="007B30D8" w:rsidRPr="0085222C">
        <w:rPr>
          <w:color w:val="000000"/>
        </w:rPr>
        <w:t>20</w:t>
      </w:r>
      <w:r w:rsidRPr="0085222C">
        <w:rPr>
          <w:color w:val="000000"/>
        </w:rPr>
        <w:t xml:space="preserve"> год </w:t>
      </w:r>
      <w:r w:rsidR="007600EF">
        <w:rPr>
          <w:color w:val="000000"/>
        </w:rPr>
        <w:t>остаются</w:t>
      </w:r>
      <w:r w:rsidRPr="0085222C">
        <w:rPr>
          <w:color w:val="000000"/>
        </w:rPr>
        <w:t>:</w:t>
      </w:r>
    </w:p>
    <w:p w:rsidR="00434D5E" w:rsidRDefault="007600EF" w:rsidP="00F33BB0">
      <w:pPr>
        <w:ind w:right="-1" w:firstLine="851"/>
        <w:contextualSpacing/>
        <w:jc w:val="both"/>
        <w:rPr>
          <w:color w:val="000000"/>
        </w:rPr>
      </w:pPr>
      <w:r>
        <w:rPr>
          <w:color w:val="000000"/>
        </w:rPr>
        <w:t xml:space="preserve">обеспечение </w:t>
      </w:r>
      <w:r w:rsidR="00434D5E" w:rsidRPr="00434D5E">
        <w:rPr>
          <w:color w:val="000000"/>
        </w:rPr>
        <w:t>соблюдени</w:t>
      </w:r>
      <w:r>
        <w:rPr>
          <w:color w:val="000000"/>
        </w:rPr>
        <w:t>я</w:t>
      </w:r>
      <w:r w:rsidR="00434D5E" w:rsidRPr="00434D5E">
        <w:rPr>
          <w:color w:val="000000"/>
        </w:rPr>
        <w:t xml:space="preserve"> противоэпидемических мероприятий на </w:t>
      </w:r>
      <w:r w:rsidR="00434D5E">
        <w:rPr>
          <w:color w:val="000000"/>
        </w:rPr>
        <w:t>о</w:t>
      </w:r>
      <w:r w:rsidR="00434D5E" w:rsidRPr="00434D5E">
        <w:rPr>
          <w:color w:val="000000"/>
        </w:rPr>
        <w:t>бъектах</w:t>
      </w:r>
      <w:r w:rsidR="00434D5E">
        <w:rPr>
          <w:color w:val="000000"/>
        </w:rPr>
        <w:t xml:space="preserve"> потребительского рынка;</w:t>
      </w:r>
    </w:p>
    <w:p w:rsidR="00F33BB0" w:rsidRDefault="00F33BB0" w:rsidP="00F33BB0">
      <w:pPr>
        <w:ind w:right="-1" w:firstLine="851"/>
        <w:contextualSpacing/>
        <w:jc w:val="both"/>
        <w:rPr>
          <w:color w:val="000000"/>
        </w:rPr>
      </w:pPr>
      <w:r w:rsidRPr="0085222C">
        <w:rPr>
          <w:color w:val="000000"/>
        </w:rPr>
        <w:t>обеспечение реализации в Чувашской Республике Стратегии развития торговли в Российской Федерации, предусматривающего поддержку рыночной торговли, развитие магазинов «в шаговой доступности», малых форм торговли, совершенствование системы организации нестационарной торговли, мобилизации данных каналов сбыта для развития местного производства продуктов питания и сельскохозяйственной продукции;</w:t>
      </w:r>
    </w:p>
    <w:p w:rsidR="00F33BB0" w:rsidRPr="0085222C" w:rsidRDefault="00F33BB0" w:rsidP="00F33BB0">
      <w:pPr>
        <w:ind w:right="-1" w:firstLine="851"/>
        <w:contextualSpacing/>
        <w:jc w:val="both"/>
        <w:rPr>
          <w:color w:val="000000"/>
        </w:rPr>
      </w:pPr>
      <w:r w:rsidRPr="0085222C">
        <w:rPr>
          <w:color w:val="000000"/>
        </w:rPr>
        <w:t>обеспечение качества и безопасности реализуемых товаров и оказываемых услуг;</w:t>
      </w:r>
    </w:p>
    <w:p w:rsidR="00F33BB0" w:rsidRDefault="00F33BB0" w:rsidP="00F33BB0">
      <w:pPr>
        <w:ind w:right="-1" w:firstLine="851"/>
        <w:contextualSpacing/>
        <w:jc w:val="both"/>
        <w:rPr>
          <w:color w:val="000000"/>
        </w:rPr>
      </w:pPr>
      <w:r w:rsidRPr="0085222C">
        <w:rPr>
          <w:color w:val="000000"/>
        </w:rPr>
        <w:t>повышение культуры обслуживания в организациях потребительского рынка.</w:t>
      </w:r>
    </w:p>
    <w:p w:rsidR="0009046B" w:rsidRDefault="0009046B" w:rsidP="00F33BB0">
      <w:pPr>
        <w:ind w:right="-1" w:firstLine="851"/>
        <w:contextualSpacing/>
        <w:jc w:val="both"/>
        <w:rPr>
          <w:color w:val="000000"/>
        </w:rPr>
      </w:pPr>
    </w:p>
    <w:p w:rsidR="0009046B" w:rsidRPr="00C02B0E" w:rsidRDefault="0009046B" w:rsidP="00F33BB0">
      <w:pPr>
        <w:ind w:right="-1" w:firstLine="851"/>
        <w:contextualSpacing/>
        <w:jc w:val="both"/>
        <w:rPr>
          <w:color w:val="000000"/>
        </w:rPr>
      </w:pPr>
    </w:p>
    <w:sectPr w:rsidR="0009046B" w:rsidRPr="00C02B0E" w:rsidSect="008562AC">
      <w:headerReference w:type="default" r:id="rId8"/>
      <w:pgSz w:w="11906" w:h="16838"/>
      <w:pgMar w:top="1134" w:right="850" w:bottom="1134" w:left="1701" w:header="708" w:footer="708" w:gutter="0"/>
      <w:pgNumType w:start="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18D" w:rsidRDefault="00A8018D" w:rsidP="00F33BB0">
      <w:r>
        <w:separator/>
      </w:r>
    </w:p>
  </w:endnote>
  <w:endnote w:type="continuationSeparator" w:id="0">
    <w:p w:rsidR="00A8018D" w:rsidRDefault="00A8018D" w:rsidP="00F3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18D" w:rsidRDefault="00A8018D" w:rsidP="00F33BB0">
      <w:r>
        <w:separator/>
      </w:r>
    </w:p>
  </w:footnote>
  <w:footnote w:type="continuationSeparator" w:id="0">
    <w:p w:rsidR="00A8018D" w:rsidRDefault="00A8018D" w:rsidP="00F33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B0" w:rsidRDefault="00F33BB0">
    <w:pPr>
      <w:pStyle w:val="aa"/>
      <w:jc w:val="center"/>
    </w:pPr>
  </w:p>
  <w:p w:rsidR="00F33BB0" w:rsidRDefault="00F33BB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B0"/>
    <w:rsid w:val="00034FBB"/>
    <w:rsid w:val="000426CA"/>
    <w:rsid w:val="0005369E"/>
    <w:rsid w:val="0009046B"/>
    <w:rsid w:val="000B3C22"/>
    <w:rsid w:val="000B4180"/>
    <w:rsid w:val="00156576"/>
    <w:rsid w:val="001A6005"/>
    <w:rsid w:val="001F74DE"/>
    <w:rsid w:val="00206540"/>
    <w:rsid w:val="00224E23"/>
    <w:rsid w:val="00230DF4"/>
    <w:rsid w:val="00263896"/>
    <w:rsid w:val="00296B5B"/>
    <w:rsid w:val="002C0532"/>
    <w:rsid w:val="002D3799"/>
    <w:rsid w:val="00312BE3"/>
    <w:rsid w:val="003152B7"/>
    <w:rsid w:val="003428DF"/>
    <w:rsid w:val="003923A8"/>
    <w:rsid w:val="00392A39"/>
    <w:rsid w:val="003A34FD"/>
    <w:rsid w:val="003B51D3"/>
    <w:rsid w:val="003D72E1"/>
    <w:rsid w:val="003D736C"/>
    <w:rsid w:val="004174D0"/>
    <w:rsid w:val="00420589"/>
    <w:rsid w:val="00434D5E"/>
    <w:rsid w:val="00453B94"/>
    <w:rsid w:val="00457EA2"/>
    <w:rsid w:val="004A0542"/>
    <w:rsid w:val="004A566A"/>
    <w:rsid w:val="004B1BD2"/>
    <w:rsid w:val="004C3BAB"/>
    <w:rsid w:val="004C3FDC"/>
    <w:rsid w:val="004D5E6F"/>
    <w:rsid w:val="0051757C"/>
    <w:rsid w:val="00531306"/>
    <w:rsid w:val="00534BAF"/>
    <w:rsid w:val="00552D84"/>
    <w:rsid w:val="005548BA"/>
    <w:rsid w:val="005C4BC2"/>
    <w:rsid w:val="005D02DF"/>
    <w:rsid w:val="005D13AF"/>
    <w:rsid w:val="005D34CA"/>
    <w:rsid w:val="005E2A8A"/>
    <w:rsid w:val="00605C9D"/>
    <w:rsid w:val="006141AC"/>
    <w:rsid w:val="00630DF8"/>
    <w:rsid w:val="0063148E"/>
    <w:rsid w:val="00651D23"/>
    <w:rsid w:val="006634CE"/>
    <w:rsid w:val="00667DAF"/>
    <w:rsid w:val="00677454"/>
    <w:rsid w:val="00682DA0"/>
    <w:rsid w:val="0068385A"/>
    <w:rsid w:val="006B7C3F"/>
    <w:rsid w:val="006C5C2C"/>
    <w:rsid w:val="006D059A"/>
    <w:rsid w:val="006E554B"/>
    <w:rsid w:val="006F1469"/>
    <w:rsid w:val="00731C46"/>
    <w:rsid w:val="0073209A"/>
    <w:rsid w:val="007360D6"/>
    <w:rsid w:val="00750E11"/>
    <w:rsid w:val="007511BD"/>
    <w:rsid w:val="007600EF"/>
    <w:rsid w:val="00763B08"/>
    <w:rsid w:val="00782003"/>
    <w:rsid w:val="007B00E8"/>
    <w:rsid w:val="007B30D8"/>
    <w:rsid w:val="007E3855"/>
    <w:rsid w:val="00820A11"/>
    <w:rsid w:val="00835B75"/>
    <w:rsid w:val="00842F71"/>
    <w:rsid w:val="00850249"/>
    <w:rsid w:val="0085222C"/>
    <w:rsid w:val="008562AC"/>
    <w:rsid w:val="008623D4"/>
    <w:rsid w:val="00872333"/>
    <w:rsid w:val="00873BFE"/>
    <w:rsid w:val="008854A9"/>
    <w:rsid w:val="008C523F"/>
    <w:rsid w:val="008C7AB5"/>
    <w:rsid w:val="008D1069"/>
    <w:rsid w:val="008F02BB"/>
    <w:rsid w:val="008F0BAB"/>
    <w:rsid w:val="008F24E4"/>
    <w:rsid w:val="009052C7"/>
    <w:rsid w:val="00914F2D"/>
    <w:rsid w:val="00922B48"/>
    <w:rsid w:val="00937F74"/>
    <w:rsid w:val="00942B0E"/>
    <w:rsid w:val="009715BE"/>
    <w:rsid w:val="00973650"/>
    <w:rsid w:val="009B5374"/>
    <w:rsid w:val="009C40CA"/>
    <w:rsid w:val="009C702C"/>
    <w:rsid w:val="009D1BA7"/>
    <w:rsid w:val="009F1FBA"/>
    <w:rsid w:val="00A32F2A"/>
    <w:rsid w:val="00A67A0D"/>
    <w:rsid w:val="00A70233"/>
    <w:rsid w:val="00A74B9F"/>
    <w:rsid w:val="00A8018D"/>
    <w:rsid w:val="00AF5D75"/>
    <w:rsid w:val="00B347FE"/>
    <w:rsid w:val="00B51962"/>
    <w:rsid w:val="00B84703"/>
    <w:rsid w:val="00BA6B52"/>
    <w:rsid w:val="00BB31B2"/>
    <w:rsid w:val="00BC0870"/>
    <w:rsid w:val="00C0397B"/>
    <w:rsid w:val="00C0586D"/>
    <w:rsid w:val="00C07731"/>
    <w:rsid w:val="00C12709"/>
    <w:rsid w:val="00C37214"/>
    <w:rsid w:val="00C45037"/>
    <w:rsid w:val="00C5457D"/>
    <w:rsid w:val="00C7195A"/>
    <w:rsid w:val="00C77035"/>
    <w:rsid w:val="00C84BB8"/>
    <w:rsid w:val="00C851F1"/>
    <w:rsid w:val="00C86471"/>
    <w:rsid w:val="00CD12BC"/>
    <w:rsid w:val="00D02E71"/>
    <w:rsid w:val="00D04EBC"/>
    <w:rsid w:val="00D129AD"/>
    <w:rsid w:val="00D20881"/>
    <w:rsid w:val="00D3011A"/>
    <w:rsid w:val="00D31BBA"/>
    <w:rsid w:val="00D32BBD"/>
    <w:rsid w:val="00D67482"/>
    <w:rsid w:val="00D9057A"/>
    <w:rsid w:val="00DA1B53"/>
    <w:rsid w:val="00DD7DDC"/>
    <w:rsid w:val="00DE480F"/>
    <w:rsid w:val="00E17E73"/>
    <w:rsid w:val="00E478A8"/>
    <w:rsid w:val="00E74790"/>
    <w:rsid w:val="00E77187"/>
    <w:rsid w:val="00EA59E1"/>
    <w:rsid w:val="00EB60F6"/>
    <w:rsid w:val="00EE2160"/>
    <w:rsid w:val="00EF2CF6"/>
    <w:rsid w:val="00F14F89"/>
    <w:rsid w:val="00F3364D"/>
    <w:rsid w:val="00F33BB0"/>
    <w:rsid w:val="00F40FD3"/>
    <w:rsid w:val="00F5688F"/>
    <w:rsid w:val="00F65B4C"/>
    <w:rsid w:val="00F80390"/>
    <w:rsid w:val="00F964B3"/>
    <w:rsid w:val="00FB1AF3"/>
    <w:rsid w:val="00FC1486"/>
    <w:rsid w:val="00FD276F"/>
    <w:rsid w:val="00FE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B0"/>
    <w:rPr>
      <w:sz w:val="24"/>
      <w:szCs w:val="24"/>
      <w:lang w:eastAsia="ru-RU"/>
    </w:rPr>
  </w:style>
  <w:style w:type="paragraph" w:styleId="1">
    <w:name w:val="heading 1"/>
    <w:basedOn w:val="a"/>
    <w:next w:val="a"/>
    <w:link w:val="10"/>
    <w:qFormat/>
    <w:rsid w:val="00CD12BC"/>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маркированный,Обычный Перечисление по ГОСТу,Абзац списка2"/>
    <w:basedOn w:val="a"/>
    <w:link w:val="a3"/>
    <w:qFormat/>
    <w:rsid w:val="00CD12BC"/>
    <w:pPr>
      <w:spacing w:after="200" w:line="276" w:lineRule="auto"/>
      <w:ind w:left="720"/>
      <w:contextualSpacing/>
    </w:pPr>
    <w:rPr>
      <w:rFonts w:ascii="Calibri" w:eastAsia="Calibri" w:hAnsi="Calibri"/>
      <w:sz w:val="22"/>
      <w:szCs w:val="22"/>
      <w:lang w:eastAsia="en-US"/>
    </w:rPr>
  </w:style>
  <w:style w:type="character" w:customStyle="1" w:styleId="a3">
    <w:name w:val="Абзац списка Знак"/>
    <w:aliases w:val="маркированный Знак,Обычный Перечисление по ГОСТу Знак,Абзац списка1 Знак"/>
    <w:link w:val="11"/>
    <w:locked/>
    <w:rsid w:val="00CD12BC"/>
    <w:rPr>
      <w:rFonts w:ascii="Calibri" w:eastAsia="Calibri" w:hAnsi="Calibri"/>
      <w:sz w:val="22"/>
      <w:szCs w:val="22"/>
    </w:rPr>
  </w:style>
  <w:style w:type="paragraph" w:customStyle="1" w:styleId="111111111111111111111111111111111111111111111111111111111">
    <w:name w:val="111111111111111111111111111111111111111111111111111111111"/>
    <w:basedOn w:val="a"/>
    <w:qFormat/>
    <w:rsid w:val="00CD12BC"/>
    <w:pPr>
      <w:spacing w:after="120"/>
      <w:ind w:firstLine="709"/>
      <w:jc w:val="both"/>
    </w:pPr>
    <w:rPr>
      <w:sz w:val="28"/>
      <w:szCs w:val="28"/>
      <w:lang w:eastAsia="ar-SA"/>
    </w:rPr>
  </w:style>
  <w:style w:type="character" w:customStyle="1" w:styleId="10">
    <w:name w:val="Заголовок 1 Знак"/>
    <w:link w:val="1"/>
    <w:rsid w:val="00CD12BC"/>
    <w:rPr>
      <w:rFonts w:ascii="Cambria" w:hAnsi="Cambria"/>
      <w:b/>
      <w:bCs/>
      <w:kern w:val="32"/>
      <w:sz w:val="32"/>
      <w:szCs w:val="32"/>
    </w:rPr>
  </w:style>
  <w:style w:type="paragraph" w:styleId="12">
    <w:name w:val="toc 1"/>
    <w:basedOn w:val="a"/>
    <w:next w:val="a"/>
    <w:autoRedefine/>
    <w:uiPriority w:val="39"/>
    <w:unhideWhenUsed/>
    <w:qFormat/>
    <w:rsid w:val="00CD12BC"/>
    <w:pPr>
      <w:spacing w:after="100" w:line="276" w:lineRule="auto"/>
    </w:pPr>
    <w:rPr>
      <w:rFonts w:ascii="Calibri" w:hAnsi="Calibri"/>
      <w:sz w:val="22"/>
      <w:szCs w:val="22"/>
    </w:rPr>
  </w:style>
  <w:style w:type="paragraph" w:styleId="2">
    <w:name w:val="toc 2"/>
    <w:basedOn w:val="a"/>
    <w:next w:val="a"/>
    <w:autoRedefine/>
    <w:uiPriority w:val="39"/>
    <w:unhideWhenUsed/>
    <w:qFormat/>
    <w:rsid w:val="00CD12BC"/>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CD12BC"/>
    <w:pPr>
      <w:spacing w:after="100" w:line="276" w:lineRule="auto"/>
      <w:ind w:left="440"/>
    </w:pPr>
    <w:rPr>
      <w:rFonts w:ascii="Calibri" w:hAnsi="Calibri"/>
      <w:sz w:val="22"/>
      <w:szCs w:val="22"/>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qFormat/>
    <w:rsid w:val="00CD12BC"/>
    <w:pPr>
      <w:spacing w:before="100" w:beforeAutospacing="1" w:after="100" w:afterAutospacing="1"/>
    </w:pPr>
    <w:rPr>
      <w:rFonts w:ascii="Calibri" w:hAnsi="Calibri"/>
      <w:lang w:val="x-none" w:eastAsia="x-none"/>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CD12BC"/>
    <w:rPr>
      <w:rFonts w:ascii="Calibri" w:hAnsi="Calibri"/>
      <w:sz w:val="24"/>
      <w:szCs w:val="24"/>
      <w:lang w:val="x-none" w:eastAsia="x-none"/>
    </w:rPr>
  </w:style>
  <w:style w:type="paragraph" w:styleId="a5">
    <w:name w:val="No Spacing"/>
    <w:link w:val="a6"/>
    <w:uiPriority w:val="1"/>
    <w:qFormat/>
    <w:rsid w:val="00CD12BC"/>
    <w:rPr>
      <w:rFonts w:ascii="Calibri" w:eastAsia="Calibri" w:hAnsi="Calibri"/>
      <w:sz w:val="22"/>
      <w:szCs w:val="22"/>
    </w:rPr>
  </w:style>
  <w:style w:type="character" w:customStyle="1" w:styleId="a6">
    <w:name w:val="Без интервала Знак"/>
    <w:link w:val="a5"/>
    <w:uiPriority w:val="1"/>
    <w:locked/>
    <w:rsid w:val="00CD12BC"/>
    <w:rPr>
      <w:rFonts w:ascii="Calibri" w:eastAsia="Calibri" w:hAnsi="Calibri"/>
      <w:sz w:val="22"/>
      <w:szCs w:val="22"/>
    </w:rPr>
  </w:style>
  <w:style w:type="paragraph" w:styleId="a7">
    <w:name w:val="TOC Heading"/>
    <w:basedOn w:val="1"/>
    <w:next w:val="a"/>
    <w:uiPriority w:val="39"/>
    <w:qFormat/>
    <w:rsid w:val="00CD12BC"/>
    <w:pPr>
      <w:keepLines/>
      <w:spacing w:before="480" w:after="0" w:line="276" w:lineRule="auto"/>
      <w:outlineLvl w:val="9"/>
    </w:pPr>
    <w:rPr>
      <w:color w:val="365F91"/>
      <w:kern w:val="0"/>
      <w:sz w:val="28"/>
      <w:szCs w:val="28"/>
      <w:lang w:val="x-none" w:eastAsia="x-none"/>
    </w:rPr>
  </w:style>
  <w:style w:type="paragraph" w:styleId="20">
    <w:name w:val="Body Text Indent 2"/>
    <w:basedOn w:val="a"/>
    <w:link w:val="21"/>
    <w:rsid w:val="00F33BB0"/>
    <w:pPr>
      <w:spacing w:line="233" w:lineRule="auto"/>
      <w:ind w:firstLine="709"/>
      <w:jc w:val="both"/>
    </w:pPr>
    <w:rPr>
      <w:color w:val="000000"/>
      <w:lang w:val="x-none" w:eastAsia="x-none"/>
    </w:rPr>
  </w:style>
  <w:style w:type="character" w:customStyle="1" w:styleId="21">
    <w:name w:val="Основной текст с отступом 2 Знак"/>
    <w:basedOn w:val="a0"/>
    <w:link w:val="20"/>
    <w:rsid w:val="00F33BB0"/>
    <w:rPr>
      <w:color w:val="000000"/>
      <w:sz w:val="24"/>
      <w:szCs w:val="24"/>
      <w:lang w:val="x-none" w:eastAsia="x-none"/>
    </w:rPr>
  </w:style>
  <w:style w:type="paragraph" w:styleId="a8">
    <w:name w:val="Balloon Text"/>
    <w:basedOn w:val="a"/>
    <w:link w:val="a9"/>
    <w:uiPriority w:val="99"/>
    <w:semiHidden/>
    <w:unhideWhenUsed/>
    <w:rsid w:val="00F33BB0"/>
    <w:rPr>
      <w:rFonts w:ascii="Tahoma" w:hAnsi="Tahoma" w:cs="Tahoma"/>
      <w:sz w:val="16"/>
      <w:szCs w:val="16"/>
    </w:rPr>
  </w:style>
  <w:style w:type="character" w:customStyle="1" w:styleId="a9">
    <w:name w:val="Текст выноски Знак"/>
    <w:basedOn w:val="a0"/>
    <w:link w:val="a8"/>
    <w:uiPriority w:val="99"/>
    <w:semiHidden/>
    <w:rsid w:val="00F33BB0"/>
    <w:rPr>
      <w:rFonts w:ascii="Tahoma" w:hAnsi="Tahoma" w:cs="Tahoma"/>
      <w:sz w:val="16"/>
      <w:szCs w:val="16"/>
      <w:lang w:eastAsia="ru-RU"/>
    </w:rPr>
  </w:style>
  <w:style w:type="paragraph" w:styleId="aa">
    <w:name w:val="header"/>
    <w:basedOn w:val="a"/>
    <w:link w:val="ab"/>
    <w:uiPriority w:val="99"/>
    <w:unhideWhenUsed/>
    <w:rsid w:val="00F33BB0"/>
    <w:pPr>
      <w:tabs>
        <w:tab w:val="center" w:pos="4677"/>
        <w:tab w:val="right" w:pos="9355"/>
      </w:tabs>
    </w:pPr>
  </w:style>
  <w:style w:type="character" w:customStyle="1" w:styleId="ab">
    <w:name w:val="Верхний колонтитул Знак"/>
    <w:basedOn w:val="a0"/>
    <w:link w:val="aa"/>
    <w:uiPriority w:val="99"/>
    <w:rsid w:val="00F33BB0"/>
    <w:rPr>
      <w:sz w:val="24"/>
      <w:szCs w:val="24"/>
      <w:lang w:eastAsia="ru-RU"/>
    </w:rPr>
  </w:style>
  <w:style w:type="paragraph" w:styleId="ac">
    <w:name w:val="footer"/>
    <w:basedOn w:val="a"/>
    <w:link w:val="ad"/>
    <w:uiPriority w:val="99"/>
    <w:unhideWhenUsed/>
    <w:rsid w:val="00F33BB0"/>
    <w:pPr>
      <w:tabs>
        <w:tab w:val="center" w:pos="4677"/>
        <w:tab w:val="right" w:pos="9355"/>
      </w:tabs>
    </w:pPr>
  </w:style>
  <w:style w:type="character" w:customStyle="1" w:styleId="ad">
    <w:name w:val="Нижний колонтитул Знак"/>
    <w:basedOn w:val="a0"/>
    <w:link w:val="ac"/>
    <w:uiPriority w:val="99"/>
    <w:rsid w:val="00F33BB0"/>
    <w:rPr>
      <w:sz w:val="24"/>
      <w:szCs w:val="24"/>
      <w:lang w:eastAsia="ru-RU"/>
    </w:rPr>
  </w:style>
  <w:style w:type="paragraph" w:styleId="ae">
    <w:name w:val="Body Text Indent"/>
    <w:basedOn w:val="a"/>
    <w:link w:val="af"/>
    <w:uiPriority w:val="99"/>
    <w:semiHidden/>
    <w:unhideWhenUsed/>
    <w:rsid w:val="003D72E1"/>
    <w:pPr>
      <w:spacing w:after="120"/>
      <w:ind w:left="283"/>
    </w:pPr>
  </w:style>
  <w:style w:type="character" w:customStyle="1" w:styleId="af">
    <w:name w:val="Основной текст с отступом Знак"/>
    <w:basedOn w:val="a0"/>
    <w:link w:val="ae"/>
    <w:uiPriority w:val="99"/>
    <w:semiHidden/>
    <w:rsid w:val="003D72E1"/>
    <w:rPr>
      <w:sz w:val="24"/>
      <w:szCs w:val="24"/>
      <w:lang w:eastAsia="ru-RU"/>
    </w:rPr>
  </w:style>
  <w:style w:type="paragraph" w:customStyle="1" w:styleId="af0">
    <w:name w:val="Заголовок таблицы"/>
    <w:basedOn w:val="a"/>
    <w:rsid w:val="00034FBB"/>
    <w:pPr>
      <w:jc w:val="center"/>
    </w:pPr>
    <w:rPr>
      <w:b/>
      <w:caps/>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B0"/>
    <w:rPr>
      <w:sz w:val="24"/>
      <w:szCs w:val="24"/>
      <w:lang w:eastAsia="ru-RU"/>
    </w:rPr>
  </w:style>
  <w:style w:type="paragraph" w:styleId="1">
    <w:name w:val="heading 1"/>
    <w:basedOn w:val="a"/>
    <w:next w:val="a"/>
    <w:link w:val="10"/>
    <w:qFormat/>
    <w:rsid w:val="00CD12BC"/>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маркированный,Обычный Перечисление по ГОСТу,Абзац списка2"/>
    <w:basedOn w:val="a"/>
    <w:link w:val="a3"/>
    <w:qFormat/>
    <w:rsid w:val="00CD12BC"/>
    <w:pPr>
      <w:spacing w:after="200" w:line="276" w:lineRule="auto"/>
      <w:ind w:left="720"/>
      <w:contextualSpacing/>
    </w:pPr>
    <w:rPr>
      <w:rFonts w:ascii="Calibri" w:eastAsia="Calibri" w:hAnsi="Calibri"/>
      <w:sz w:val="22"/>
      <w:szCs w:val="22"/>
      <w:lang w:eastAsia="en-US"/>
    </w:rPr>
  </w:style>
  <w:style w:type="character" w:customStyle="1" w:styleId="a3">
    <w:name w:val="Абзац списка Знак"/>
    <w:aliases w:val="маркированный Знак,Обычный Перечисление по ГОСТу Знак,Абзац списка1 Знак"/>
    <w:link w:val="11"/>
    <w:locked/>
    <w:rsid w:val="00CD12BC"/>
    <w:rPr>
      <w:rFonts w:ascii="Calibri" w:eastAsia="Calibri" w:hAnsi="Calibri"/>
      <w:sz w:val="22"/>
      <w:szCs w:val="22"/>
    </w:rPr>
  </w:style>
  <w:style w:type="paragraph" w:customStyle="1" w:styleId="111111111111111111111111111111111111111111111111111111111">
    <w:name w:val="111111111111111111111111111111111111111111111111111111111"/>
    <w:basedOn w:val="a"/>
    <w:qFormat/>
    <w:rsid w:val="00CD12BC"/>
    <w:pPr>
      <w:spacing w:after="120"/>
      <w:ind w:firstLine="709"/>
      <w:jc w:val="both"/>
    </w:pPr>
    <w:rPr>
      <w:sz w:val="28"/>
      <w:szCs w:val="28"/>
      <w:lang w:eastAsia="ar-SA"/>
    </w:rPr>
  </w:style>
  <w:style w:type="character" w:customStyle="1" w:styleId="10">
    <w:name w:val="Заголовок 1 Знак"/>
    <w:link w:val="1"/>
    <w:rsid w:val="00CD12BC"/>
    <w:rPr>
      <w:rFonts w:ascii="Cambria" w:hAnsi="Cambria"/>
      <w:b/>
      <w:bCs/>
      <w:kern w:val="32"/>
      <w:sz w:val="32"/>
      <w:szCs w:val="32"/>
    </w:rPr>
  </w:style>
  <w:style w:type="paragraph" w:styleId="12">
    <w:name w:val="toc 1"/>
    <w:basedOn w:val="a"/>
    <w:next w:val="a"/>
    <w:autoRedefine/>
    <w:uiPriority w:val="39"/>
    <w:unhideWhenUsed/>
    <w:qFormat/>
    <w:rsid w:val="00CD12BC"/>
    <w:pPr>
      <w:spacing w:after="100" w:line="276" w:lineRule="auto"/>
    </w:pPr>
    <w:rPr>
      <w:rFonts w:ascii="Calibri" w:hAnsi="Calibri"/>
      <w:sz w:val="22"/>
      <w:szCs w:val="22"/>
    </w:rPr>
  </w:style>
  <w:style w:type="paragraph" w:styleId="2">
    <w:name w:val="toc 2"/>
    <w:basedOn w:val="a"/>
    <w:next w:val="a"/>
    <w:autoRedefine/>
    <w:uiPriority w:val="39"/>
    <w:unhideWhenUsed/>
    <w:qFormat/>
    <w:rsid w:val="00CD12BC"/>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CD12BC"/>
    <w:pPr>
      <w:spacing w:after="100" w:line="276" w:lineRule="auto"/>
      <w:ind w:left="440"/>
    </w:pPr>
    <w:rPr>
      <w:rFonts w:ascii="Calibri" w:hAnsi="Calibri"/>
      <w:sz w:val="22"/>
      <w:szCs w:val="22"/>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qFormat/>
    <w:rsid w:val="00CD12BC"/>
    <w:pPr>
      <w:spacing w:before="100" w:beforeAutospacing="1" w:after="100" w:afterAutospacing="1"/>
    </w:pPr>
    <w:rPr>
      <w:rFonts w:ascii="Calibri" w:hAnsi="Calibri"/>
      <w:lang w:val="x-none" w:eastAsia="x-none"/>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CD12BC"/>
    <w:rPr>
      <w:rFonts w:ascii="Calibri" w:hAnsi="Calibri"/>
      <w:sz w:val="24"/>
      <w:szCs w:val="24"/>
      <w:lang w:val="x-none" w:eastAsia="x-none"/>
    </w:rPr>
  </w:style>
  <w:style w:type="paragraph" w:styleId="a5">
    <w:name w:val="No Spacing"/>
    <w:link w:val="a6"/>
    <w:uiPriority w:val="1"/>
    <w:qFormat/>
    <w:rsid w:val="00CD12BC"/>
    <w:rPr>
      <w:rFonts w:ascii="Calibri" w:eastAsia="Calibri" w:hAnsi="Calibri"/>
      <w:sz w:val="22"/>
      <w:szCs w:val="22"/>
    </w:rPr>
  </w:style>
  <w:style w:type="character" w:customStyle="1" w:styleId="a6">
    <w:name w:val="Без интервала Знак"/>
    <w:link w:val="a5"/>
    <w:uiPriority w:val="1"/>
    <w:locked/>
    <w:rsid w:val="00CD12BC"/>
    <w:rPr>
      <w:rFonts w:ascii="Calibri" w:eastAsia="Calibri" w:hAnsi="Calibri"/>
      <w:sz w:val="22"/>
      <w:szCs w:val="22"/>
    </w:rPr>
  </w:style>
  <w:style w:type="paragraph" w:styleId="a7">
    <w:name w:val="TOC Heading"/>
    <w:basedOn w:val="1"/>
    <w:next w:val="a"/>
    <w:uiPriority w:val="39"/>
    <w:qFormat/>
    <w:rsid w:val="00CD12BC"/>
    <w:pPr>
      <w:keepLines/>
      <w:spacing w:before="480" w:after="0" w:line="276" w:lineRule="auto"/>
      <w:outlineLvl w:val="9"/>
    </w:pPr>
    <w:rPr>
      <w:color w:val="365F91"/>
      <w:kern w:val="0"/>
      <w:sz w:val="28"/>
      <w:szCs w:val="28"/>
      <w:lang w:val="x-none" w:eastAsia="x-none"/>
    </w:rPr>
  </w:style>
  <w:style w:type="paragraph" w:styleId="20">
    <w:name w:val="Body Text Indent 2"/>
    <w:basedOn w:val="a"/>
    <w:link w:val="21"/>
    <w:rsid w:val="00F33BB0"/>
    <w:pPr>
      <w:spacing w:line="233" w:lineRule="auto"/>
      <w:ind w:firstLine="709"/>
      <w:jc w:val="both"/>
    </w:pPr>
    <w:rPr>
      <w:color w:val="000000"/>
      <w:lang w:val="x-none" w:eastAsia="x-none"/>
    </w:rPr>
  </w:style>
  <w:style w:type="character" w:customStyle="1" w:styleId="21">
    <w:name w:val="Основной текст с отступом 2 Знак"/>
    <w:basedOn w:val="a0"/>
    <w:link w:val="20"/>
    <w:rsid w:val="00F33BB0"/>
    <w:rPr>
      <w:color w:val="000000"/>
      <w:sz w:val="24"/>
      <w:szCs w:val="24"/>
      <w:lang w:val="x-none" w:eastAsia="x-none"/>
    </w:rPr>
  </w:style>
  <w:style w:type="paragraph" w:styleId="a8">
    <w:name w:val="Balloon Text"/>
    <w:basedOn w:val="a"/>
    <w:link w:val="a9"/>
    <w:uiPriority w:val="99"/>
    <w:semiHidden/>
    <w:unhideWhenUsed/>
    <w:rsid w:val="00F33BB0"/>
    <w:rPr>
      <w:rFonts w:ascii="Tahoma" w:hAnsi="Tahoma" w:cs="Tahoma"/>
      <w:sz w:val="16"/>
      <w:szCs w:val="16"/>
    </w:rPr>
  </w:style>
  <w:style w:type="character" w:customStyle="1" w:styleId="a9">
    <w:name w:val="Текст выноски Знак"/>
    <w:basedOn w:val="a0"/>
    <w:link w:val="a8"/>
    <w:uiPriority w:val="99"/>
    <w:semiHidden/>
    <w:rsid w:val="00F33BB0"/>
    <w:rPr>
      <w:rFonts w:ascii="Tahoma" w:hAnsi="Tahoma" w:cs="Tahoma"/>
      <w:sz w:val="16"/>
      <w:szCs w:val="16"/>
      <w:lang w:eastAsia="ru-RU"/>
    </w:rPr>
  </w:style>
  <w:style w:type="paragraph" w:styleId="aa">
    <w:name w:val="header"/>
    <w:basedOn w:val="a"/>
    <w:link w:val="ab"/>
    <w:uiPriority w:val="99"/>
    <w:unhideWhenUsed/>
    <w:rsid w:val="00F33BB0"/>
    <w:pPr>
      <w:tabs>
        <w:tab w:val="center" w:pos="4677"/>
        <w:tab w:val="right" w:pos="9355"/>
      </w:tabs>
    </w:pPr>
  </w:style>
  <w:style w:type="character" w:customStyle="1" w:styleId="ab">
    <w:name w:val="Верхний колонтитул Знак"/>
    <w:basedOn w:val="a0"/>
    <w:link w:val="aa"/>
    <w:uiPriority w:val="99"/>
    <w:rsid w:val="00F33BB0"/>
    <w:rPr>
      <w:sz w:val="24"/>
      <w:szCs w:val="24"/>
      <w:lang w:eastAsia="ru-RU"/>
    </w:rPr>
  </w:style>
  <w:style w:type="paragraph" w:styleId="ac">
    <w:name w:val="footer"/>
    <w:basedOn w:val="a"/>
    <w:link w:val="ad"/>
    <w:uiPriority w:val="99"/>
    <w:unhideWhenUsed/>
    <w:rsid w:val="00F33BB0"/>
    <w:pPr>
      <w:tabs>
        <w:tab w:val="center" w:pos="4677"/>
        <w:tab w:val="right" w:pos="9355"/>
      </w:tabs>
    </w:pPr>
  </w:style>
  <w:style w:type="character" w:customStyle="1" w:styleId="ad">
    <w:name w:val="Нижний колонтитул Знак"/>
    <w:basedOn w:val="a0"/>
    <w:link w:val="ac"/>
    <w:uiPriority w:val="99"/>
    <w:rsid w:val="00F33BB0"/>
    <w:rPr>
      <w:sz w:val="24"/>
      <w:szCs w:val="24"/>
      <w:lang w:eastAsia="ru-RU"/>
    </w:rPr>
  </w:style>
  <w:style w:type="paragraph" w:styleId="ae">
    <w:name w:val="Body Text Indent"/>
    <w:basedOn w:val="a"/>
    <w:link w:val="af"/>
    <w:uiPriority w:val="99"/>
    <w:semiHidden/>
    <w:unhideWhenUsed/>
    <w:rsid w:val="003D72E1"/>
    <w:pPr>
      <w:spacing w:after="120"/>
      <w:ind w:left="283"/>
    </w:pPr>
  </w:style>
  <w:style w:type="character" w:customStyle="1" w:styleId="af">
    <w:name w:val="Основной текст с отступом Знак"/>
    <w:basedOn w:val="a0"/>
    <w:link w:val="ae"/>
    <w:uiPriority w:val="99"/>
    <w:semiHidden/>
    <w:rsid w:val="003D72E1"/>
    <w:rPr>
      <w:sz w:val="24"/>
      <w:szCs w:val="24"/>
      <w:lang w:eastAsia="ru-RU"/>
    </w:rPr>
  </w:style>
  <w:style w:type="paragraph" w:customStyle="1" w:styleId="af0">
    <w:name w:val="Заголовок таблицы"/>
    <w:basedOn w:val="a"/>
    <w:rsid w:val="00034FBB"/>
    <w:pPr>
      <w:jc w:val="center"/>
    </w:pPr>
    <w:rPr>
      <w:b/>
      <w:caps/>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45"/>
      <c:rAngAx val="0"/>
      <c:perspective val="0"/>
    </c:view3D>
    <c:floor>
      <c:thickness val="0"/>
    </c:floor>
    <c:sideWall>
      <c:thickness val="0"/>
    </c:sideWall>
    <c:backWall>
      <c:thickness val="0"/>
    </c:backWall>
    <c:plotArea>
      <c:layout>
        <c:manualLayout>
          <c:layoutTarget val="inner"/>
          <c:xMode val="edge"/>
          <c:yMode val="edge"/>
          <c:x val="0.10761154855643044"/>
          <c:y val="0.20183486238532111"/>
          <c:w val="0.83202099737532809"/>
          <c:h val="0.57339449541284404"/>
        </c:manualLayout>
      </c:layout>
      <c:pie3DChart>
        <c:varyColors val="1"/>
        <c:ser>
          <c:idx val="0"/>
          <c:order val="0"/>
          <c:tx>
            <c:strRef>
              <c:f>Sheet1!$A$2</c:f>
              <c:strCache>
                <c:ptCount val="1"/>
              </c:strCache>
            </c:strRef>
          </c:tx>
          <c:spPr>
            <a:ln w="14616">
              <a:solidFill>
                <a:srgbClr val="000000"/>
              </a:solidFill>
              <a:prstDash val="solid"/>
            </a:ln>
          </c:spPr>
          <c:explosion val="25"/>
          <c:dPt>
            <c:idx val="0"/>
            <c:bubble3D val="0"/>
            <c:spPr>
              <a:pattFill prst="shingle">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FFFFFF" mc:Ignorable="a14" a14:legacySpreadsheetColorIndex="9"/>
                </a:bgClr>
              </a:pattFill>
              <a:ln w="14616">
                <a:solidFill>
                  <a:srgbClr val="000000"/>
                </a:solidFill>
                <a:prstDash val="solid"/>
              </a:ln>
            </c:spPr>
          </c:dPt>
          <c:dPt>
            <c:idx val="1"/>
            <c:bubble3D val="0"/>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4616">
                <a:solidFill>
                  <a:srgbClr val="000000"/>
                </a:solidFill>
                <a:prstDash val="solid"/>
              </a:ln>
            </c:spPr>
          </c:dPt>
          <c:dPt>
            <c:idx val="2"/>
            <c:bubble3D val="0"/>
            <c:spPr>
              <a:pattFill prst="pct2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4616">
                <a:solidFill>
                  <a:srgbClr val="000000"/>
                </a:solidFill>
                <a:prstDash val="solid"/>
              </a:ln>
            </c:spPr>
          </c:dPt>
          <c:dPt>
            <c:idx val="3"/>
            <c:bubble3D val="0"/>
            <c:spPr>
              <a:pattFill prst="horzBrick">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4616">
                <a:solidFill>
                  <a:srgbClr val="000000"/>
                </a:solidFill>
                <a:prstDash val="solid"/>
              </a:ln>
            </c:spPr>
          </c:dPt>
          <c:dPt>
            <c:idx val="4"/>
            <c:bubble3D val="0"/>
            <c:spPr>
              <a:solidFill>
                <a:srgbClr val="FFFFFF"/>
              </a:solidFill>
              <a:ln w="14616">
                <a:solidFill>
                  <a:srgbClr val="000000"/>
                </a:solidFill>
                <a:prstDash val="solid"/>
              </a:ln>
            </c:spPr>
          </c:dPt>
          <c:dLbls>
            <c:dLbl>
              <c:idx val="0"/>
              <c:layout>
                <c:manualLayout>
                  <c:x val="-9.8373869932925184E-2"/>
                  <c:y val="3.6169872804229231E-2"/>
                </c:manualLayout>
              </c:layout>
              <c:tx>
                <c:rich>
                  <a:bodyPr/>
                  <a:lstStyle/>
                  <a:p>
                    <a:pPr>
                      <a:defRPr sz="1151" b="0" i="0" u="none" strike="noStrike" baseline="0">
                        <a:solidFill>
                          <a:srgbClr val="000000"/>
                        </a:solidFill>
                        <a:latin typeface="Times New Roman"/>
                        <a:ea typeface="Times New Roman"/>
                        <a:cs typeface="Times New Roman"/>
                      </a:defRPr>
                    </a:pPr>
                    <a:r>
                      <a:rPr lang="ru-RU"/>
                      <a:t>1
67,2%</a:t>
                    </a:r>
                  </a:p>
                </c:rich>
              </c:tx>
              <c:spPr>
                <a:noFill/>
                <a:ln w="29232">
                  <a:noFill/>
                </a:ln>
              </c:spPr>
              <c:dLblPos val="bestFit"/>
              <c:showLegendKey val="0"/>
              <c:showVal val="0"/>
              <c:showCatName val="0"/>
              <c:showSerName val="0"/>
              <c:showPercent val="0"/>
              <c:showBubbleSize val="0"/>
            </c:dLbl>
            <c:dLbl>
              <c:idx val="1"/>
              <c:layout>
                <c:manualLayout>
                  <c:x val="-2.1064333624963544E-2"/>
                  <c:y val="-7.9786512859127134E-2"/>
                </c:manualLayout>
              </c:layout>
              <c:tx>
                <c:rich>
                  <a:bodyPr/>
                  <a:lstStyle/>
                  <a:p>
                    <a:pPr>
                      <a:defRPr sz="1151" b="0" i="0" u="none" strike="noStrike" baseline="0">
                        <a:solidFill>
                          <a:srgbClr val="000000"/>
                        </a:solidFill>
                        <a:latin typeface="Times New Roman"/>
                        <a:ea typeface="Times New Roman"/>
                        <a:cs typeface="Times New Roman"/>
                      </a:defRPr>
                    </a:pPr>
                    <a:r>
                      <a:rPr lang="ru-RU"/>
                      <a:t>2
14,4%</a:t>
                    </a:r>
                  </a:p>
                </c:rich>
              </c:tx>
              <c:spPr>
                <a:noFill/>
                <a:ln w="29232">
                  <a:noFill/>
                </a:ln>
              </c:spPr>
              <c:dLblPos val="bestFit"/>
              <c:showLegendKey val="0"/>
              <c:showVal val="0"/>
              <c:showCatName val="0"/>
              <c:showSerName val="0"/>
              <c:showPercent val="0"/>
              <c:showBubbleSize val="0"/>
            </c:dLbl>
            <c:dLbl>
              <c:idx val="2"/>
              <c:layout>
                <c:manualLayout>
                  <c:x val="-7.9370078740159666E-4"/>
                  <c:y val="-5.8466000134194257E-2"/>
                </c:manualLayout>
              </c:layout>
              <c:tx>
                <c:rich>
                  <a:bodyPr/>
                  <a:lstStyle/>
                  <a:p>
                    <a:pPr>
                      <a:defRPr sz="1151" b="0" i="0" u="none" strike="noStrike" baseline="0">
                        <a:solidFill>
                          <a:srgbClr val="000000"/>
                        </a:solidFill>
                        <a:latin typeface="Times New Roman"/>
                        <a:ea typeface="Times New Roman"/>
                        <a:cs typeface="Times New Roman"/>
                      </a:defRPr>
                    </a:pPr>
                    <a:r>
                      <a:rPr lang="ru-RU"/>
                      <a:t>3
15,0%</a:t>
                    </a:r>
                  </a:p>
                </c:rich>
              </c:tx>
              <c:spPr>
                <a:noFill/>
                <a:ln w="29232">
                  <a:noFill/>
                </a:ln>
              </c:spPr>
              <c:dLblPos val="bestFit"/>
              <c:showLegendKey val="0"/>
              <c:showVal val="0"/>
              <c:showCatName val="0"/>
              <c:showSerName val="0"/>
              <c:showPercent val="0"/>
              <c:showBubbleSize val="0"/>
            </c:dLbl>
            <c:dLbl>
              <c:idx val="3"/>
              <c:layout>
                <c:manualLayout>
                  <c:x val="-1.4573111694371588E-2"/>
                  <c:y val="-0.12912929943308493"/>
                </c:manualLayout>
              </c:layout>
              <c:tx>
                <c:rich>
                  <a:bodyPr/>
                  <a:lstStyle/>
                  <a:p>
                    <a:pPr>
                      <a:defRPr sz="1151" b="0" i="0" u="none" strike="noStrike" baseline="0">
                        <a:solidFill>
                          <a:srgbClr val="000000"/>
                        </a:solidFill>
                        <a:latin typeface="Times New Roman"/>
                        <a:ea typeface="Times New Roman"/>
                        <a:cs typeface="Times New Roman"/>
                      </a:defRPr>
                    </a:pPr>
                    <a:r>
                      <a:rPr lang="ru-RU"/>
                      <a:t>4
3,4%</a:t>
                    </a:r>
                  </a:p>
                </c:rich>
              </c:tx>
              <c:spPr>
                <a:noFill/>
                <a:ln w="29232">
                  <a:noFill/>
                </a:ln>
              </c:spPr>
              <c:dLblPos val="bestFit"/>
              <c:showLegendKey val="0"/>
              <c:showVal val="0"/>
              <c:showCatName val="0"/>
              <c:showSerName val="0"/>
              <c:showPercent val="0"/>
              <c:showBubbleSize val="0"/>
            </c:dLbl>
            <c:numFmt formatCode="0%" sourceLinked="0"/>
            <c:spPr>
              <a:noFill/>
              <a:ln w="29232">
                <a:noFill/>
              </a:ln>
            </c:spPr>
            <c:txPr>
              <a:bodyPr/>
              <a:lstStyle/>
              <a:p>
                <a:pPr>
                  <a:defRPr sz="1266" b="0" i="0" u="none" strike="noStrike" baseline="0">
                    <a:solidFill>
                      <a:srgbClr val="000000"/>
                    </a:solidFill>
                    <a:latin typeface="Times New Roman"/>
                    <a:ea typeface="Times New Roman"/>
                    <a:cs typeface="Times New Roman"/>
                  </a:defRPr>
                </a:pPr>
                <a:endParaRPr lang="ru-RU"/>
              </a:p>
            </c:txPr>
            <c:dLblPos val="outEnd"/>
            <c:showLegendKey val="0"/>
            <c:showVal val="0"/>
            <c:showCatName val="1"/>
            <c:showSerName val="0"/>
            <c:showPercent val="1"/>
            <c:showBubbleSize val="0"/>
            <c:showLeaderLines val="0"/>
          </c:dLbls>
          <c:cat>
            <c:numRef>
              <c:f>Sheet1!$B$1:$E$1</c:f>
              <c:numCache>
                <c:formatCode>General</c:formatCode>
                <c:ptCount val="4"/>
                <c:pt idx="0">
                  <c:v>1</c:v>
                </c:pt>
                <c:pt idx="1">
                  <c:v>2</c:v>
                </c:pt>
                <c:pt idx="2">
                  <c:v>3</c:v>
                </c:pt>
                <c:pt idx="3">
                  <c:v>4</c:v>
                </c:pt>
              </c:numCache>
            </c:numRef>
          </c:cat>
          <c:val>
            <c:numRef>
              <c:f>Sheet1!$B$2:$E$2</c:f>
              <c:numCache>
                <c:formatCode>0.0</c:formatCode>
                <c:ptCount val="4"/>
                <c:pt idx="0">
                  <c:v>67.2</c:v>
                </c:pt>
                <c:pt idx="1">
                  <c:v>14.4</c:v>
                </c:pt>
                <c:pt idx="2">
                  <c:v>15</c:v>
                </c:pt>
                <c:pt idx="3">
                  <c:v>3.4</c:v>
                </c:pt>
              </c:numCache>
            </c:numRef>
          </c:val>
        </c:ser>
        <c:ser>
          <c:idx val="1"/>
          <c:order val="1"/>
          <c:tx>
            <c:strRef>
              <c:f>Sheet1!$A$3</c:f>
              <c:strCache>
                <c:ptCount val="1"/>
              </c:strCache>
            </c:strRef>
          </c:tx>
          <c:spPr>
            <a:solidFill>
              <a:srgbClr val="993366"/>
            </a:solidFill>
            <a:ln w="14616">
              <a:solidFill>
                <a:srgbClr val="000000"/>
              </a:solidFill>
              <a:prstDash val="solid"/>
            </a:ln>
          </c:spPr>
          <c:explosion val="25"/>
          <c:dPt>
            <c:idx val="0"/>
            <c:bubble3D val="0"/>
            <c:spPr>
              <a:solidFill>
                <a:srgbClr val="9999FF"/>
              </a:solidFill>
              <a:ln w="14616">
                <a:solidFill>
                  <a:srgbClr val="000000"/>
                </a:solidFill>
                <a:prstDash val="solid"/>
              </a:ln>
            </c:spPr>
          </c:dPt>
          <c:dPt>
            <c:idx val="1"/>
            <c:bubble3D val="0"/>
          </c:dPt>
          <c:dPt>
            <c:idx val="2"/>
            <c:bubble3D val="0"/>
            <c:spPr>
              <a:solidFill>
                <a:srgbClr val="FFFFCC"/>
              </a:solidFill>
              <a:ln w="14616">
                <a:solidFill>
                  <a:srgbClr val="000000"/>
                </a:solidFill>
                <a:prstDash val="solid"/>
              </a:ln>
            </c:spPr>
          </c:dPt>
          <c:dPt>
            <c:idx val="3"/>
            <c:bubble3D val="0"/>
            <c:spPr>
              <a:solidFill>
                <a:srgbClr val="CCFFFF"/>
              </a:solidFill>
              <a:ln w="14616">
                <a:solidFill>
                  <a:srgbClr val="000000"/>
                </a:solidFill>
                <a:prstDash val="solid"/>
              </a:ln>
            </c:spPr>
          </c:dPt>
          <c:dLbls>
            <c:numFmt formatCode="0%" sourceLinked="0"/>
            <c:spPr>
              <a:noFill/>
              <a:ln w="29232">
                <a:noFill/>
              </a:ln>
            </c:spPr>
            <c:txPr>
              <a:bodyPr/>
              <a:lstStyle/>
              <a:p>
                <a:pPr>
                  <a:defRPr sz="691" b="1" i="0" u="none" strike="noStrike" baseline="0">
                    <a:solidFill>
                      <a:srgbClr val="000000"/>
                    </a:solidFill>
                    <a:latin typeface="Arial Cyr"/>
                    <a:ea typeface="Arial Cyr"/>
                    <a:cs typeface="Arial Cyr"/>
                  </a:defRPr>
                </a:pPr>
                <a:endParaRPr lang="ru-RU"/>
              </a:p>
            </c:txPr>
            <c:dLblPos val="outEnd"/>
            <c:showLegendKey val="0"/>
            <c:showVal val="0"/>
            <c:showCatName val="1"/>
            <c:showSerName val="0"/>
            <c:showPercent val="1"/>
            <c:showBubbleSize val="0"/>
            <c:showLeaderLines val="0"/>
          </c:dLbls>
          <c:cat>
            <c:numRef>
              <c:f>Sheet1!$B$1:$E$1</c:f>
              <c:numCache>
                <c:formatCode>General</c:formatCode>
                <c:ptCount val="4"/>
                <c:pt idx="0">
                  <c:v>1</c:v>
                </c:pt>
                <c:pt idx="1">
                  <c:v>2</c:v>
                </c:pt>
                <c:pt idx="2">
                  <c:v>3</c:v>
                </c:pt>
                <c:pt idx="3">
                  <c:v>4</c:v>
                </c:pt>
              </c:numCache>
            </c:numRef>
          </c:cat>
          <c:val>
            <c:numRef>
              <c:f>Sheet1!$B$3:$E$3</c:f>
              <c:numCache>
                <c:formatCode>General</c:formatCode>
                <c:ptCount val="4"/>
              </c:numCache>
            </c:numRef>
          </c:val>
        </c:ser>
        <c:dLbls>
          <c:dLblPos val="outEnd"/>
          <c:showLegendKey val="0"/>
          <c:showVal val="0"/>
          <c:showCatName val="1"/>
          <c:showSerName val="0"/>
          <c:showPercent val="1"/>
          <c:showBubbleSize val="0"/>
          <c:showLeaderLines val="0"/>
        </c:dLbls>
      </c:pie3DChart>
      <c:spPr>
        <a:noFill/>
        <a:ln w="29232">
          <a:noFill/>
        </a:ln>
      </c:spPr>
    </c:plotArea>
    <c:plotVisOnly val="1"/>
    <c:dispBlanksAs val="zero"/>
    <c:showDLblsOverMax val="0"/>
  </c:chart>
  <c:spPr>
    <a:noFill/>
    <a:ln>
      <a:noFill/>
    </a:ln>
  </c:spPr>
  <c:txPr>
    <a:bodyPr/>
    <a:lstStyle/>
    <a:p>
      <a:pPr>
        <a:defRPr sz="1151"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economy20 (Кузнецова М.Н.)</dc:creator>
  <cp:lastModifiedBy>economy68 (Чернова Е.Н.)</cp:lastModifiedBy>
  <cp:revision>4</cp:revision>
  <dcterms:created xsi:type="dcterms:W3CDTF">2020-07-30T13:21:00Z</dcterms:created>
  <dcterms:modified xsi:type="dcterms:W3CDTF">2020-07-30T13:37:00Z</dcterms:modified>
</cp:coreProperties>
</file>