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26" w:rsidRDefault="008437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3726" w:rsidRDefault="00843726">
      <w:pPr>
        <w:pStyle w:val="ConsPlusNormal"/>
        <w:jc w:val="both"/>
        <w:outlineLvl w:val="0"/>
      </w:pPr>
    </w:p>
    <w:p w:rsidR="00843726" w:rsidRDefault="0084372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843726" w:rsidRDefault="00843726">
      <w:pPr>
        <w:pStyle w:val="ConsPlusTitle"/>
        <w:jc w:val="center"/>
      </w:pPr>
    </w:p>
    <w:p w:rsidR="00843726" w:rsidRDefault="00843726">
      <w:pPr>
        <w:pStyle w:val="ConsPlusTitle"/>
        <w:jc w:val="center"/>
      </w:pPr>
      <w:r>
        <w:t>ПОСТАНОВЛЕНИЕ</w:t>
      </w:r>
    </w:p>
    <w:p w:rsidR="00843726" w:rsidRDefault="00843726">
      <w:pPr>
        <w:pStyle w:val="ConsPlusTitle"/>
        <w:jc w:val="center"/>
      </w:pPr>
      <w:r>
        <w:t>от 10 мая 2012 г. N 180</w:t>
      </w:r>
    </w:p>
    <w:p w:rsidR="00843726" w:rsidRDefault="00843726">
      <w:pPr>
        <w:pStyle w:val="ConsPlusTitle"/>
        <w:jc w:val="center"/>
      </w:pPr>
    </w:p>
    <w:p w:rsidR="00843726" w:rsidRDefault="00843726">
      <w:pPr>
        <w:pStyle w:val="ConsPlusTitle"/>
        <w:jc w:val="center"/>
      </w:pPr>
      <w:r>
        <w:t>ОБ УТВЕРЖДЕНИИ МЕТОДИКИ ОЦЕНКИ ЭФФЕКТИВНОСТИ</w:t>
      </w:r>
    </w:p>
    <w:p w:rsidR="00843726" w:rsidRDefault="00843726">
      <w:pPr>
        <w:pStyle w:val="ConsPlusTitle"/>
        <w:jc w:val="center"/>
      </w:pPr>
      <w:r>
        <w:t>ГОСУДАРСТВЕННЫХ ПРОГРАММ ЧУВАШСКОЙ РЕСПУБЛИКИ</w:t>
      </w:r>
    </w:p>
    <w:p w:rsidR="00843726" w:rsidRDefault="008437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3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26.12.2012 </w:t>
            </w:r>
            <w:hyperlink r:id="rId6" w:history="1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14.08.2013 </w:t>
            </w:r>
            <w:hyperlink r:id="rId7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24.12.2014 </w:t>
            </w:r>
            <w:hyperlink r:id="rId8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10.05.2018 </w:t>
            </w:r>
            <w:hyperlink r:id="rId9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11.03.2020 </w:t>
            </w:r>
            <w:hyperlink r:id="rId10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ind w:firstLine="540"/>
        <w:jc w:val="both"/>
      </w:pPr>
      <w:r>
        <w:t>В целях повышения эффективности и совершенствования контроля за результатами реализации государственных программ Чувашской Республики Кабинет Министров Чувашской Республики постановляет: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Методику</w:t>
        </w:r>
      </w:hyperlink>
      <w:r>
        <w:t xml:space="preserve"> оценки эффективности государственных программ Чувашской Республики.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Министерство экономического развития и имущественных отношений Чувашской Республики.</w:t>
      </w:r>
    </w:p>
    <w:p w:rsidR="00843726" w:rsidRDefault="0084372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11.03.2020 N 92)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right"/>
      </w:pPr>
      <w:r>
        <w:t>Председатель Кабинета Министров</w:t>
      </w:r>
    </w:p>
    <w:p w:rsidR="00843726" w:rsidRDefault="00843726">
      <w:pPr>
        <w:pStyle w:val="ConsPlusNormal"/>
        <w:jc w:val="right"/>
      </w:pPr>
      <w:r>
        <w:t>Чувашской Республики</w:t>
      </w:r>
    </w:p>
    <w:p w:rsidR="00843726" w:rsidRDefault="00843726">
      <w:pPr>
        <w:pStyle w:val="ConsPlusNormal"/>
        <w:jc w:val="right"/>
      </w:pPr>
      <w:r>
        <w:t>И.МОТОРИН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right"/>
        <w:outlineLvl w:val="0"/>
      </w:pPr>
      <w:r>
        <w:t>Утверждена</w:t>
      </w:r>
    </w:p>
    <w:p w:rsidR="00843726" w:rsidRDefault="00843726">
      <w:pPr>
        <w:pStyle w:val="ConsPlusNormal"/>
        <w:jc w:val="right"/>
      </w:pPr>
      <w:r>
        <w:t>постановлением</w:t>
      </w:r>
    </w:p>
    <w:p w:rsidR="00843726" w:rsidRDefault="00843726">
      <w:pPr>
        <w:pStyle w:val="ConsPlusNormal"/>
        <w:jc w:val="right"/>
      </w:pPr>
      <w:r>
        <w:t>Кабинета Министров</w:t>
      </w:r>
    </w:p>
    <w:p w:rsidR="00843726" w:rsidRDefault="00843726">
      <w:pPr>
        <w:pStyle w:val="ConsPlusNormal"/>
        <w:jc w:val="right"/>
      </w:pPr>
      <w:r>
        <w:t>Чувашской Республики</w:t>
      </w:r>
    </w:p>
    <w:p w:rsidR="00843726" w:rsidRDefault="00843726">
      <w:pPr>
        <w:pStyle w:val="ConsPlusNormal"/>
        <w:jc w:val="right"/>
      </w:pPr>
      <w:r>
        <w:t>от 10.05.2012 N 180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Title"/>
        <w:jc w:val="center"/>
      </w:pPr>
      <w:bookmarkStart w:id="0" w:name="P32"/>
      <w:bookmarkEnd w:id="0"/>
      <w:r>
        <w:t>МЕТОДИКА</w:t>
      </w:r>
    </w:p>
    <w:p w:rsidR="00843726" w:rsidRDefault="00843726">
      <w:pPr>
        <w:pStyle w:val="ConsPlusTitle"/>
        <w:jc w:val="center"/>
      </w:pPr>
      <w:r>
        <w:t>ОЦЕНКИ ЭФФЕКТИВНОСТИ ГОСУДАРСТВЕННЫХ ПРОГРАММ</w:t>
      </w:r>
    </w:p>
    <w:p w:rsidR="00843726" w:rsidRDefault="00843726">
      <w:pPr>
        <w:pStyle w:val="ConsPlusTitle"/>
        <w:jc w:val="center"/>
      </w:pPr>
      <w:r>
        <w:t>ЧУВАШСКОЙ РЕСПУБЛИКИ</w:t>
      </w:r>
    </w:p>
    <w:p w:rsidR="00843726" w:rsidRDefault="008437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3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24.12.2014 </w:t>
            </w:r>
            <w:hyperlink r:id="rId12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10.05.2018 </w:t>
            </w:r>
            <w:hyperlink r:id="rId13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11.03.2020 </w:t>
            </w:r>
            <w:hyperlink r:id="rId14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ind w:firstLine="540"/>
        <w:jc w:val="both"/>
      </w:pPr>
      <w:r>
        <w:t xml:space="preserve">1. Методика оценки эффективности государственных программ Чувашской Республики (далее - Методика) представляет собой алгоритм оценки в процессе и по итогам реализации государственных программ Чувашской Республики (далее - государственная программа) </w:t>
      </w:r>
      <w:r>
        <w:lastRenderedPageBreak/>
        <w:t>результативности выполнения подпрограмм государственных программ с использованием результатов мониторинга и оценки степени достижения целевых показателей (индикаторов) государственных программ (подпрограмм государственных программ).</w:t>
      </w:r>
    </w:p>
    <w:p w:rsidR="00843726" w:rsidRDefault="0084372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11.03.2020 N 92)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>2. Методика предусматривает проведение оценки эффективности государственных программ на основе комплексных и интегрального критериев оценки эффективности государственной программы (далее соответственно - комплексные критерии, интегральный критерий).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>Комплексные критерии отражают основные характеристики государственной программы.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>Интегральный критерий учитывает значения комплексных критериев с поправкой на весовой коэффициент.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 xml:space="preserve">3. Оценка эффективности государственной программы осуществляется в соответствии с комплексными </w:t>
      </w:r>
      <w:hyperlink w:anchor="P48" w:history="1">
        <w:r>
          <w:rPr>
            <w:color w:val="0000FF"/>
          </w:rPr>
          <w:t>критериями</w:t>
        </w:r>
      </w:hyperlink>
      <w:r>
        <w:t>, приведенными в табл. 1.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right"/>
        <w:outlineLvl w:val="1"/>
      </w:pPr>
      <w:r>
        <w:t>Таблица 1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Title"/>
        <w:jc w:val="center"/>
      </w:pPr>
      <w:bookmarkStart w:id="1" w:name="P48"/>
      <w:bookmarkEnd w:id="1"/>
      <w:r>
        <w:t>Комплексные критерии</w:t>
      </w:r>
    </w:p>
    <w:p w:rsidR="00843726" w:rsidRDefault="00843726">
      <w:pPr>
        <w:pStyle w:val="ConsPlusNormal"/>
        <w:jc w:val="both"/>
      </w:pPr>
    </w:p>
    <w:p w:rsidR="00843726" w:rsidRDefault="00843726">
      <w:pPr>
        <w:sectPr w:rsidR="00843726" w:rsidSect="00654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40"/>
        <w:gridCol w:w="2598"/>
        <w:gridCol w:w="1115"/>
        <w:gridCol w:w="1214"/>
        <w:gridCol w:w="2573"/>
        <w:gridCol w:w="3367"/>
        <w:gridCol w:w="1145"/>
      </w:tblGrid>
      <w:tr w:rsidR="00843726">
        <w:tc>
          <w:tcPr>
            <w:tcW w:w="624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lastRenderedPageBreak/>
              <w:t>N</w:t>
            </w:r>
          </w:p>
          <w:p w:rsidR="00843726" w:rsidRDefault="00843726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640" w:type="dxa"/>
          </w:tcPr>
          <w:p w:rsidR="00843726" w:rsidRDefault="00843726">
            <w:pPr>
              <w:pStyle w:val="ConsPlusNormal"/>
              <w:jc w:val="center"/>
            </w:pPr>
            <w:r>
              <w:t>Наименование комплексного критерия</w:t>
            </w:r>
          </w:p>
        </w:tc>
        <w:tc>
          <w:tcPr>
            <w:tcW w:w="2598" w:type="dxa"/>
          </w:tcPr>
          <w:p w:rsidR="00843726" w:rsidRDefault="00843726">
            <w:pPr>
              <w:pStyle w:val="ConsPlusNormal"/>
              <w:jc w:val="center"/>
            </w:pPr>
            <w:r>
              <w:t>Содержание комплексного критерия</w:t>
            </w:r>
          </w:p>
        </w:tc>
        <w:tc>
          <w:tcPr>
            <w:tcW w:w="1115" w:type="dxa"/>
          </w:tcPr>
          <w:p w:rsidR="00843726" w:rsidRDefault="00843726">
            <w:pPr>
              <w:pStyle w:val="ConsPlusNormal"/>
              <w:jc w:val="center"/>
            </w:pPr>
            <w:r>
              <w:t>Обозначение комплексного критерия</w:t>
            </w:r>
          </w:p>
        </w:tc>
        <w:tc>
          <w:tcPr>
            <w:tcW w:w="1214" w:type="dxa"/>
          </w:tcPr>
          <w:p w:rsidR="00843726" w:rsidRDefault="00843726">
            <w:pPr>
              <w:pStyle w:val="ConsPlusNormal"/>
              <w:jc w:val="center"/>
            </w:pPr>
            <w:r>
              <w:t>Весовой коэффициент комплексного критерия</w:t>
            </w:r>
          </w:p>
        </w:tc>
        <w:tc>
          <w:tcPr>
            <w:tcW w:w="2573" w:type="dxa"/>
          </w:tcPr>
          <w:p w:rsidR="00843726" w:rsidRDefault="00843726">
            <w:pPr>
              <w:pStyle w:val="ConsPlusNormal"/>
              <w:jc w:val="center"/>
            </w:pPr>
            <w:r>
              <w:t>Формула расчета комплексного критерия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center"/>
            </w:pPr>
            <w:r>
              <w:t>Варианты значений комплексного критерия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Оценка комплексного критерия, баллов</w:t>
            </w:r>
          </w:p>
        </w:tc>
      </w:tr>
      <w:tr w:rsidR="00843726">
        <w:tc>
          <w:tcPr>
            <w:tcW w:w="624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43726" w:rsidRDefault="008437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98" w:type="dxa"/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73" w:type="dxa"/>
          </w:tcPr>
          <w:p w:rsidR="00843726" w:rsidRDefault="008437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8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Формулировка цели государственной программы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соответствие цели государственной программы приоритетам государственной политики Чувашской Республики в сфере реализации государственной программы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25" style="width:16.8pt;height:19.8pt" coordsize="" o:spt="100" adj="0,,0" path="" filled="f" stroked="f">
                  <v:stroke joinstyle="miter"/>
                  <v:imagedata r:id="rId16" o:title="base_23650_123644_32768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</w:pP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цели государственной программы соответствуют приоритетам государственной политики Чувашской Республики в сфере реализации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цели государственной программы не соответствуют приоритетам государственной политики Чувашской Республики в сфере реализации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Формулировка задач государственной программы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соответствие целей подпрограмм государственной программы (далее - подпрограмма) задачам государственной программы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26" style="width:17.4pt;height:19.8pt" coordsize="" o:spt="100" adj="0,,0" path="" filled="f" stroked="f">
                  <v:stroke joinstyle="miter"/>
                  <v:imagedata r:id="rId17" o:title="base_23650_123644_32769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</w:pP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цели всех подпрограмм соответствуют задачам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цели более половины подпрограмм соответствуют задачам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 xml:space="preserve">цели половины и менее половины подпрограмм соответствуют задачам </w:t>
            </w:r>
            <w:r>
              <w:lastRenderedPageBreak/>
              <w:t>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цели подпрограмм не соответствуют задачам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40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Достижение целевых показателей (индикаторов) государственной программы</w:t>
            </w:r>
          </w:p>
        </w:tc>
        <w:tc>
          <w:tcPr>
            <w:tcW w:w="2598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соответствие фактически достигнутых и плановых значений целевых показателей (индикаторов) государственной программы</w:t>
            </w:r>
          </w:p>
        </w:tc>
        <w:tc>
          <w:tcPr>
            <w:tcW w:w="1115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3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3</w:t>
            </w:r>
            <w:r>
              <w:t xml:space="preserve"> = П</w:t>
            </w:r>
            <w:r>
              <w:rPr>
                <w:vertAlign w:val="subscript"/>
              </w:rPr>
              <w:t>ф</w:t>
            </w:r>
            <w:r>
              <w:t xml:space="preserve"> / П</w:t>
            </w:r>
            <w:r>
              <w:rPr>
                <w:vertAlign w:val="subscript"/>
              </w:rPr>
              <w:t>п</w:t>
            </w:r>
            <w:r>
              <w:t xml:space="preserve"> x 100%,</w: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ф</w:t>
            </w:r>
            <w:r>
              <w:t xml:space="preserve"> - фактическое значение целевого показателя (индикатора) государственной программы;</w:t>
            </w:r>
          </w:p>
          <w:p w:rsidR="00843726" w:rsidRDefault="00843726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п</w:t>
            </w:r>
            <w:r>
              <w:t xml:space="preserve"> - плановое значение целевого показателя (индикатора) государственной программы.</w:t>
            </w:r>
          </w:p>
          <w:p w:rsidR="00843726" w:rsidRDefault="00843726">
            <w:pPr>
              <w:pStyle w:val="ConsPlusNormal"/>
              <w:jc w:val="both"/>
            </w:pPr>
            <w:r>
              <w:t>Для нескольких целевых показателей (индикаторов) государственной программы рассчитывается среднее значение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80 до 100% и более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60 до 80%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40 до 60%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менее 40%</w:t>
            </w:r>
          </w:p>
        </w:tc>
        <w:tc>
          <w:tcPr>
            <w:tcW w:w="1145" w:type="dxa"/>
            <w:tcBorders>
              <w:bottom w:val="nil"/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 xml:space="preserve">(п. 3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11.03.2020 N 92)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40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Достижение целевых показателей (индикаторов) подпрограмм</w:t>
            </w:r>
          </w:p>
        </w:tc>
        <w:tc>
          <w:tcPr>
            <w:tcW w:w="2598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соответствие фактически достигнутых и плановых значений целевых показателей (индикаторов) подпрограмм</w:t>
            </w:r>
          </w:p>
        </w:tc>
        <w:tc>
          <w:tcPr>
            <w:tcW w:w="1115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4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4</w:t>
            </w:r>
            <w:r>
              <w:t xml:space="preserve"> = И</w:t>
            </w:r>
            <w:r>
              <w:rPr>
                <w:vertAlign w:val="subscript"/>
              </w:rPr>
              <w:t>ф</w:t>
            </w:r>
            <w:r>
              <w:t xml:space="preserve"> / И</w:t>
            </w:r>
            <w:r>
              <w:rPr>
                <w:vertAlign w:val="subscript"/>
              </w:rPr>
              <w:t>п</w:t>
            </w:r>
            <w:r>
              <w:t xml:space="preserve"> x 100%,</w: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>
              <w:t>И</w:t>
            </w:r>
            <w:r>
              <w:rPr>
                <w:vertAlign w:val="subscript"/>
              </w:rPr>
              <w:t>ф</w:t>
            </w:r>
            <w:r>
              <w:t xml:space="preserve"> - фактическое значение целевого показателя (индикатора) подпрограммы;</w:t>
            </w:r>
          </w:p>
          <w:p w:rsidR="00843726" w:rsidRDefault="00843726">
            <w:pPr>
              <w:pStyle w:val="ConsPlusNormal"/>
              <w:jc w:val="both"/>
            </w:pPr>
            <w:r>
              <w:lastRenderedPageBreak/>
              <w:t>И</w:t>
            </w:r>
            <w:r>
              <w:rPr>
                <w:vertAlign w:val="subscript"/>
              </w:rPr>
              <w:t>п</w:t>
            </w:r>
            <w:r>
              <w:t xml:space="preserve"> - плановое значение целевого показателя (индикатора) подпрограммы.</w:t>
            </w:r>
          </w:p>
          <w:p w:rsidR="00843726" w:rsidRDefault="00843726">
            <w:pPr>
              <w:pStyle w:val="ConsPlusNormal"/>
              <w:jc w:val="both"/>
            </w:pPr>
            <w:r>
              <w:t>Для нескольких целевых показателей (индикаторов) подпрограмм рассчитывается среднее значение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>от 80 до 100% и более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60 до 80%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40 до 60%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менее 40%</w:t>
            </w:r>
          </w:p>
        </w:tc>
        <w:tc>
          <w:tcPr>
            <w:tcW w:w="1145" w:type="dxa"/>
            <w:tcBorders>
              <w:bottom w:val="nil"/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11.03.2020 N 92)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40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Соответствие реализации основных мероприятий подпрограммы целевым показателям (индикаторам) государственной программы (подпрограмм)</w:t>
            </w:r>
          </w:p>
        </w:tc>
        <w:tc>
          <w:tcPr>
            <w:tcW w:w="2598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каждое основное мероприятие подпрограммы направлено на достижение конкретного целевого показателя (индикатора) государственной программы (подпрограмм)</w:t>
            </w:r>
          </w:p>
        </w:tc>
        <w:tc>
          <w:tcPr>
            <w:tcW w:w="1115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5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</w:pP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для 80% и более основных мероприятий подпрограмм установлены отдельные целевые показатели (индикаторы) государственной программы (подпрограмм)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для 50 - 80% основных мероприятий подпрограмм установлены отдельные целевые показатели (индикаторы) государственной программы (подпрограмм)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для 50% и менее основных мероприятий подпрограмм установлены отдельные целевые показатели (индикаторы) государственной программы (подпрограмм)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2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 xml:space="preserve">основным мероприятиям </w:t>
            </w:r>
            <w:r>
              <w:lastRenderedPageBreak/>
              <w:t>подпрограмм не соответствует ни один из целевых показателей (индикаторов) государственной программы (подпрограмм)</w:t>
            </w:r>
          </w:p>
        </w:tc>
        <w:tc>
          <w:tcPr>
            <w:tcW w:w="1145" w:type="dxa"/>
            <w:tcBorders>
              <w:bottom w:val="nil"/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11.03.2020 N 92)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Освоение средств республиканского бюджета Чувашской Республики на реализацию государственной программы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соответствие фактических и плановых значений ресурсного обеспечения реализации государственной программы за счет средств республиканского бюджета Чувашской Республики в соответствии с законом Чувашской Республики о республиканском бюджете Чувашской Республики на очередной финансовый год и плановый период (далее - закон о бюджете)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27" style="width:17.4pt;height:19.8pt" coordsize="" o:spt="100" adj="0,,0" path="" filled="f" stroked="f">
                  <v:stroke joinstyle="miter"/>
                  <v:imagedata r:id="rId21" o:title="base_23650_123644_32770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28" style="width:122.4pt;height:20.4pt" coordsize="" o:spt="100" adj="0,,0" path="" filled="f" stroked="f">
                  <v:stroke joinstyle="miter"/>
                  <v:imagedata r:id="rId22" o:title="base_23650_123644_32771"/>
                  <v:formulas/>
                  <v:path o:connecttype="segments"/>
                </v:shape>
              </w:pic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29" style="width:17.4pt;height:21pt" coordsize="" o:spt="100" adj="0,,0" path="" filled="f" stroked="f">
                  <v:stroke joinstyle="miter"/>
                  <v:imagedata r:id="rId23" o:title="base_23650_123644_32772"/>
                  <v:formulas/>
                  <v:path o:connecttype="segments"/>
                </v:shape>
              </w:pict>
            </w:r>
            <w:r>
              <w:t xml:space="preserve"> - кассовое исполнение средств республиканского бюджета Чувашской Республики;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pict>
                <v:shape id="_x0000_i1030" style="width:16.8pt;height:19.8pt" coordsize="" o:spt="100" adj="0,,0" path="" filled="f" stroked="f">
                  <v:stroke joinstyle="miter"/>
                  <v:imagedata r:id="rId24" o:title="base_23650_123644_32773"/>
                  <v:formulas/>
                  <v:path o:connecttype="segments"/>
                </v:shape>
              </w:pict>
            </w:r>
            <w:r>
              <w:t xml:space="preserve"> - плановое значение в соответствии с законом о бюджете;</w:t>
            </w:r>
          </w:p>
          <w:p w:rsidR="00843726" w:rsidRDefault="00843726">
            <w:pPr>
              <w:pStyle w:val="ConsPlusNormal"/>
              <w:jc w:val="both"/>
            </w:pPr>
            <w:r>
              <w:t>Э - экономия на торгах при осуществлении закупок товаров, работ, услуг для обеспечения нужд Чувашской Республики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90 до 100%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80 до 90%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50 до 80%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менее 50%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Результаты планирования ресурсного обеспечения реализации государственной программы за счет средств республиканского бюджета Чувашской Республики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 xml:space="preserve">соответствие плановых значений финансирования государственной программы за счет средств республиканского бюджета Чувашской </w:t>
            </w:r>
            <w:r>
              <w:lastRenderedPageBreak/>
              <w:t>Республики суммам финансирования, утвержденным законом о бюджете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lastRenderedPageBreak/>
              <w:pict>
                <v:shape id="_x0000_i1031" style="width:17.4pt;height:19.8pt" coordsize="" o:spt="100" adj="0,,0" path="" filled="f" stroked="f">
                  <v:stroke joinstyle="miter"/>
                  <v:imagedata r:id="rId25" o:title="base_23650_123644_32774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pict>
                <v:shape id="_x0000_i1032" style="width:100.2pt;height:19.8pt" coordsize="" o:spt="100" adj="0,,0" path="" filled="f" stroked="f">
                  <v:stroke joinstyle="miter"/>
                  <v:imagedata r:id="rId26" o:title="base_23650_123644_32775"/>
                  <v:formulas/>
                  <v:path o:connecttype="segments"/>
                </v:shape>
              </w:pic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pict>
                <v:shape id="_x0000_i1033" style="width:17.4pt;height:19.8pt" coordsize="" o:spt="100" adj="0,,0" path="" filled="f" stroked="f">
                  <v:stroke joinstyle="miter"/>
                  <v:imagedata r:id="rId27" o:title="base_23650_123644_32776"/>
                  <v:formulas/>
                  <v:path o:connecttype="segments"/>
                </v:shape>
              </w:pict>
            </w:r>
            <w:r>
              <w:t xml:space="preserve"> - плановое значение в соответствии с утвержденной государственной программой;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lastRenderedPageBreak/>
              <w:pict>
                <v:shape id="_x0000_i1034" style="width:16.8pt;height:19.8pt" coordsize="" o:spt="100" adj="0,,0" path="" filled="f" stroked="f">
                  <v:stroke joinstyle="miter"/>
                  <v:imagedata r:id="rId28" o:title="base_23650_123644_32777"/>
                  <v:formulas/>
                  <v:path o:connecttype="segments"/>
                </v:shape>
              </w:pict>
            </w:r>
            <w:r>
              <w:t xml:space="preserve"> - плановое значение в соответствии с законом о бюджете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>плановые показатели ресурсного обеспечения реализации государственной программы за счет средств республиканского бюджета Чувашской Республики соответствуют показателям, установленным законом о бюджете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несоответствие плановых показателей ресурсного обеспечения реализации государственной программы за счет средств республиканского бюджета Чувашской Республики показателям, установленным законом о бюджете, не связанное с экономией средств республиканского бюджета Чувашской Республики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2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640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Корректировка целевых показателей (индикаторов) государственной программы (подпрограмм) в отчетном году</w:t>
            </w:r>
          </w:p>
        </w:tc>
        <w:tc>
          <w:tcPr>
            <w:tcW w:w="2598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при внесении изменений в государственную программу (подпрограммы) уточнены значения целевых показателей (индикаторов)</w:t>
            </w:r>
          </w:p>
        </w:tc>
        <w:tc>
          <w:tcPr>
            <w:tcW w:w="1115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8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</w:pP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увеличение или отсутствие изменений значений целевых показателей (индикаторов) государственной программы (подпрограмм)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снижение значений целевых показателей (индикаторов) государственной программы (подпрограмм), связанное с уменьшением объемов финансирования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снижение значений целевых показателей (индикаторов) государственной программы (подпрограмм) без сокращения объемов финансирования</w:t>
            </w:r>
          </w:p>
        </w:tc>
        <w:tc>
          <w:tcPr>
            <w:tcW w:w="1145" w:type="dxa"/>
            <w:tcBorders>
              <w:bottom w:val="nil"/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 xml:space="preserve">(п. 8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11.03.2020 N 92)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 xml:space="preserve">Межведомственное взаимодействие в целях </w:t>
            </w:r>
            <w:r>
              <w:lastRenderedPageBreak/>
              <w:t>реализации государственной программы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 xml:space="preserve">в целях реализации государственной </w:t>
            </w:r>
            <w:r>
              <w:lastRenderedPageBreak/>
              <w:t>программы ответственный исполнитель государственной программы взаимодействует с соисполнителями государственной программы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lastRenderedPageBreak/>
              <w:pict>
                <v:shape id="_x0000_i1035" style="width:17.4pt;height:19.8pt" coordsize="" o:spt="100" adj="0,,0" path="" filled="f" stroked="f">
                  <v:stroke joinstyle="miter"/>
                  <v:imagedata r:id="rId30" o:title="base_23650_123644_32778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</w:pP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 xml:space="preserve">у государственной программы имеются два и более </w:t>
            </w:r>
            <w:r>
              <w:lastRenderedPageBreak/>
              <w:t>соисполнителя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у государственной программы имеется один соисполнитель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государственной программой не предусмотрены соисполнители государственной программы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40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Наличие нарушений финансовой дисциплины и выявление неэффективного и нецелевого использования бюджетных средств при реализации государственной программы (подпрограмм), выявленных в ходе контрольно-ревизионных мероприятий Контрольно-счетной палаты Чувашской Республики, Министерства финансов Чувашской Республики, Управления Федерального казначейства по Чувашской Республике</w:t>
            </w:r>
          </w:p>
        </w:tc>
        <w:tc>
          <w:tcPr>
            <w:tcW w:w="2598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в ходе реализации государственной программы (подпрограмм) выявлены нарушения</w:t>
            </w:r>
          </w:p>
        </w:tc>
        <w:tc>
          <w:tcPr>
            <w:tcW w:w="1115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36" style="width:21pt;height:19.8pt" coordsize="" o:spt="100" adj="0,,0" path="" filled="f" stroked="f">
                  <v:stroke joinstyle="miter"/>
                  <v:imagedata r:id="rId31" o:title="base_23650_123644_32779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843726" w:rsidRDefault="00843726">
            <w:pPr>
              <w:pStyle w:val="ConsPlusNormal"/>
            </w:pP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нарушений при реализации государственной программы (подпрограмм) не выявлено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624" w:type="dxa"/>
            <w:vMerge/>
            <w:tcBorders>
              <w:left w:val="nil"/>
              <w:bottom w:val="nil"/>
            </w:tcBorders>
          </w:tcPr>
          <w:p w:rsidR="00843726" w:rsidRDefault="00843726"/>
        </w:tc>
        <w:tc>
          <w:tcPr>
            <w:tcW w:w="2640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98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115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1214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2573" w:type="dxa"/>
            <w:vMerge/>
            <w:tcBorders>
              <w:bottom w:val="nil"/>
            </w:tcBorders>
          </w:tcPr>
          <w:p w:rsidR="00843726" w:rsidRDefault="00843726"/>
        </w:tc>
        <w:tc>
          <w:tcPr>
            <w:tcW w:w="3367" w:type="dxa"/>
            <w:tcBorders>
              <w:bottom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t>выявлены нарушения при реализации государственной программы (подпрограмм)</w:t>
            </w:r>
          </w:p>
        </w:tc>
        <w:tc>
          <w:tcPr>
            <w:tcW w:w="1145" w:type="dxa"/>
            <w:tcBorders>
              <w:bottom w:val="nil"/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0</w:t>
            </w:r>
          </w:p>
        </w:tc>
      </w:tr>
      <w:tr w:rsidR="00843726">
        <w:tblPrEx>
          <w:tblBorders>
            <w:insideH w:val="nil"/>
          </w:tblBorders>
        </w:tblPrEx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10.05.2018 N 178)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Выполнение основных мероприятий подпрограмм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соответствие запланированных и выполненных основных мероприятий подпрограмм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37" style="width:19.8pt;height:19.8pt" coordsize="" o:spt="100" adj="0,,0" path="" filled="f" stroked="f">
                  <v:stroke joinstyle="miter"/>
                  <v:imagedata r:id="rId33" o:title="base_23650_123644_32780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38" style="width:111pt;height:21pt" coordsize="" o:spt="100" adj="0,,0" path="" filled="f" stroked="f">
                  <v:stroke joinstyle="miter"/>
                  <v:imagedata r:id="rId34" o:title="base_23650_123644_32781"/>
                  <v:formulas/>
                  <v:path o:connecttype="segments"/>
                </v:shape>
              </w:pic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39" style="width:22.2pt;height:21pt" coordsize="" o:spt="100" adj="0,,0" path="" filled="f" stroked="f">
                  <v:stroke joinstyle="miter"/>
                  <v:imagedata r:id="rId35" o:title="base_23650_123644_32782"/>
                  <v:formulas/>
                  <v:path o:connecttype="segments"/>
                </v:shape>
              </w:pict>
            </w:r>
            <w:r>
              <w:t xml:space="preserve"> - количество выполненных основных мероприятий подпрограмм;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pict>
                <v:shape id="_x0000_i1040" style="width:21pt;height:19.8pt" coordsize="" o:spt="100" adj="0,,0" path="" filled="f" stroked="f">
                  <v:stroke joinstyle="miter"/>
                  <v:imagedata r:id="rId36" o:title="base_23650_123644_32783"/>
                  <v:formulas/>
                  <v:path o:connecttype="segments"/>
                </v:shape>
              </w:pict>
            </w:r>
            <w:r>
              <w:t xml:space="preserve"> - количество запланированных основных мероприятий подпрограмм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90 до 100% и более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70 до 90%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50 до 70%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менее 50%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 xml:space="preserve">Ввод в действие объектов капитального строительства в рамках реализации инвестиционных проектов строительства, реконструкции, в том числе с элементами реставрации, или технического перевооружения объектов капитального строительства, выполнение которых планируется осуществить полностью или частично за счет средств республиканского бюджета Чувашской </w:t>
            </w:r>
            <w:r>
              <w:lastRenderedPageBreak/>
              <w:t>Республики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lastRenderedPageBreak/>
              <w:t>соответствие запланированных и фактических сроков ввода в действие объектов капитального строительства, предусмотренных государственной программой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41" style="width:21pt;height:19.8pt" coordsize="" o:spt="100" adj="0,,0" path="" filled="f" stroked="f">
                  <v:stroke joinstyle="miter"/>
                  <v:imagedata r:id="rId37" o:title="base_23650_123644_32784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42" style="width:106.8pt;height:21pt" coordsize="" o:spt="100" adj="0,,0" path="" filled="f" stroked="f">
                  <v:stroke joinstyle="miter"/>
                  <v:imagedata r:id="rId38" o:title="base_23650_123644_32785"/>
                  <v:formulas/>
                  <v:path o:connecttype="segments"/>
                </v:shape>
              </w:pic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43" style="width:19.2pt;height:21pt" coordsize="" o:spt="100" adj="0,,0" path="" filled="f" stroked="f">
                  <v:stroke joinstyle="miter"/>
                  <v:imagedata r:id="rId39" o:title="base_23650_123644_32786"/>
                  <v:formulas/>
                  <v:path o:connecttype="segments"/>
                </v:shape>
              </w:pict>
            </w:r>
            <w:r>
              <w:t xml:space="preserve"> - количество фактически введенных объектов капитального строительства из числа предусмотренных к вводу в отчетном периоде;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pict>
                <v:shape id="_x0000_i1044" style="width:19.2pt;height:19.8pt" coordsize="" o:spt="100" adj="0,,0" path="" filled="f" stroked="f">
                  <v:stroke joinstyle="miter"/>
                  <v:imagedata r:id="rId40" o:title="base_23650_123644_32787"/>
                  <v:formulas/>
                  <v:path o:connecttype="segments"/>
                </v:shape>
              </w:pict>
            </w:r>
            <w:r>
              <w:t xml:space="preserve"> - количество запланированных к вводу в действие объектов капитального строительства в отчетном периоде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70 до 100% и более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40 до 70%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менее 40%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государственной программой не предусмотрен ввод в действие объектов капитального строительства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 w:val="restart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40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Соответствие фактических инвестиционных расходов объемам средств республиканского бюджета Чувашской Республики, предусмотренным в государственной программе</w:t>
            </w:r>
          </w:p>
        </w:tc>
        <w:tc>
          <w:tcPr>
            <w:tcW w:w="2598" w:type="dxa"/>
            <w:vMerge w:val="restart"/>
          </w:tcPr>
          <w:p w:rsidR="00843726" w:rsidRDefault="00843726">
            <w:pPr>
              <w:pStyle w:val="ConsPlusNormal"/>
              <w:jc w:val="both"/>
            </w:pPr>
            <w:r>
              <w:t>своевременность корректировки объемов финансирования из республиканского бюджета Чувашской Республики объектов капитального строительства, создаваемых в рамках государственной программы</w:t>
            </w:r>
          </w:p>
        </w:tc>
        <w:tc>
          <w:tcPr>
            <w:tcW w:w="1115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 w:rsidRPr="007977DE">
              <w:rPr>
                <w:position w:val="-8"/>
              </w:rPr>
              <w:pict>
                <v:shape id="_x0000_i1045" style="width:21pt;height:19.8pt" coordsize="" o:spt="100" adj="0,,0" path="" filled="f" stroked="f">
                  <v:stroke joinstyle="miter"/>
                  <v:imagedata r:id="rId41" o:title="base_23650_123644_32788"/>
                  <v:formulas/>
                  <v:path o:connecttype="segments"/>
                </v:shape>
              </w:pict>
            </w:r>
          </w:p>
        </w:tc>
        <w:tc>
          <w:tcPr>
            <w:tcW w:w="1214" w:type="dxa"/>
            <w:vMerge w:val="restart"/>
          </w:tcPr>
          <w:p w:rsidR="00843726" w:rsidRDefault="0084372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573" w:type="dxa"/>
            <w:vMerge w:val="restart"/>
          </w:tcPr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46" style="width:106.8pt;height:21pt" coordsize="" o:spt="100" adj="0,,0" path="" filled="f" stroked="f">
                  <v:stroke joinstyle="miter"/>
                  <v:imagedata r:id="rId42" o:title="base_23650_123644_32789"/>
                  <v:formulas/>
                  <v:path o:connecttype="segments"/>
                </v:shape>
              </w:pict>
            </w:r>
          </w:p>
          <w:p w:rsidR="00843726" w:rsidRDefault="00843726">
            <w:pPr>
              <w:pStyle w:val="ConsPlusNormal"/>
              <w:jc w:val="both"/>
            </w:pPr>
            <w:r>
              <w:t>где: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9"/>
              </w:rPr>
              <w:pict>
                <v:shape id="_x0000_i1047" style="width:19.8pt;height:21pt" coordsize="" o:spt="100" adj="0,,0" path="" filled="f" stroked="f">
                  <v:stroke joinstyle="miter"/>
                  <v:imagedata r:id="rId43" o:title="base_23650_123644_32790"/>
                  <v:formulas/>
                  <v:path o:connecttype="segments"/>
                </v:shape>
              </w:pict>
            </w:r>
            <w:r>
              <w:t xml:space="preserve"> - кассовое исполнение;</w:t>
            </w:r>
          </w:p>
          <w:p w:rsidR="00843726" w:rsidRDefault="00843726">
            <w:pPr>
              <w:pStyle w:val="ConsPlusNormal"/>
              <w:jc w:val="both"/>
            </w:pPr>
            <w:r w:rsidRPr="007977DE">
              <w:rPr>
                <w:position w:val="-8"/>
              </w:rPr>
              <w:pict>
                <v:shape id="_x0000_i1048" style="width:19.2pt;height:19.8pt" coordsize="" o:spt="100" adj="0,,0" path="" filled="f" stroked="f">
                  <v:stroke joinstyle="miter"/>
                  <v:imagedata r:id="rId44" o:title="base_23650_123644_32791"/>
                  <v:formulas/>
                  <v:path o:connecttype="segments"/>
                </v:shape>
              </w:pict>
            </w:r>
            <w:r>
              <w:t xml:space="preserve"> - плановое значение в соответствии с государственной программой</w:t>
            </w:r>
          </w:p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70 до 100% и более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5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от 30 до 70%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менее 30%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3</w:t>
            </w:r>
          </w:p>
        </w:tc>
      </w:tr>
      <w:tr w:rsidR="00843726">
        <w:tc>
          <w:tcPr>
            <w:tcW w:w="624" w:type="dxa"/>
            <w:vMerge/>
            <w:tcBorders>
              <w:left w:val="nil"/>
            </w:tcBorders>
          </w:tcPr>
          <w:p w:rsidR="00843726" w:rsidRDefault="00843726"/>
        </w:tc>
        <w:tc>
          <w:tcPr>
            <w:tcW w:w="2640" w:type="dxa"/>
            <w:vMerge/>
          </w:tcPr>
          <w:p w:rsidR="00843726" w:rsidRDefault="00843726"/>
        </w:tc>
        <w:tc>
          <w:tcPr>
            <w:tcW w:w="2598" w:type="dxa"/>
            <w:vMerge/>
          </w:tcPr>
          <w:p w:rsidR="00843726" w:rsidRDefault="00843726"/>
        </w:tc>
        <w:tc>
          <w:tcPr>
            <w:tcW w:w="1115" w:type="dxa"/>
            <w:vMerge/>
          </w:tcPr>
          <w:p w:rsidR="00843726" w:rsidRDefault="00843726"/>
        </w:tc>
        <w:tc>
          <w:tcPr>
            <w:tcW w:w="1214" w:type="dxa"/>
            <w:vMerge/>
          </w:tcPr>
          <w:p w:rsidR="00843726" w:rsidRDefault="00843726"/>
        </w:tc>
        <w:tc>
          <w:tcPr>
            <w:tcW w:w="2573" w:type="dxa"/>
            <w:vMerge/>
          </w:tcPr>
          <w:p w:rsidR="00843726" w:rsidRDefault="00843726"/>
        </w:tc>
        <w:tc>
          <w:tcPr>
            <w:tcW w:w="3367" w:type="dxa"/>
          </w:tcPr>
          <w:p w:rsidR="00843726" w:rsidRDefault="00843726">
            <w:pPr>
              <w:pStyle w:val="ConsPlusNormal"/>
              <w:jc w:val="both"/>
            </w:pPr>
            <w:r>
              <w:t>государственной программой не предусмотрены инвестиционные расходы</w:t>
            </w:r>
          </w:p>
        </w:tc>
        <w:tc>
          <w:tcPr>
            <w:tcW w:w="1145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4</w:t>
            </w:r>
          </w:p>
        </w:tc>
      </w:tr>
    </w:tbl>
    <w:p w:rsidR="00843726" w:rsidRDefault="00843726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43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3726" w:rsidRDefault="00843726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11.03.2020 N 92 с 01.01.2021 табл. 1 будет дополнена пунктом 14 следующего содержания:</w:t>
            </w:r>
          </w:p>
          <w:p w:rsidR="00843726" w:rsidRDefault="00843726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2520"/>
              <w:gridCol w:w="2514"/>
              <w:gridCol w:w="1044"/>
              <w:gridCol w:w="1106"/>
              <w:gridCol w:w="2304"/>
              <w:gridCol w:w="3185"/>
              <w:gridCol w:w="1061"/>
            </w:tblGrid>
            <w:tr w:rsidR="00843726">
              <w:tc>
                <w:tcPr>
                  <w:tcW w:w="624" w:type="dxa"/>
                  <w:vMerge w:val="restart"/>
                  <w:tcBorders>
                    <w:lef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"14.</w:t>
                  </w:r>
                </w:p>
              </w:tc>
              <w:tc>
                <w:tcPr>
                  <w:tcW w:w="2640" w:type="dxa"/>
                  <w:vMerge w:val="restart"/>
                </w:tcPr>
                <w:p w:rsidR="00843726" w:rsidRDefault="00843726">
                  <w:pPr>
                    <w:pStyle w:val="ConsPlusNormal"/>
                    <w:jc w:val="both"/>
                  </w:pPr>
                  <w:r>
                    <w:t>Результаты оценки эффективности налоговых расходов Чувашской Республики &lt;*&gt;</w:t>
                  </w:r>
                </w:p>
              </w:tc>
              <w:tc>
                <w:tcPr>
                  <w:tcW w:w="2598" w:type="dxa"/>
                  <w:vMerge w:val="restart"/>
                </w:tcPr>
                <w:p w:rsidR="00843726" w:rsidRDefault="00843726">
                  <w:pPr>
                    <w:pStyle w:val="ConsPlusNormal"/>
                    <w:jc w:val="both"/>
                  </w:pPr>
                  <w:r>
                    <w:t>в ходе реализации государственной программы выявлена результативность</w:t>
                  </w:r>
                </w:p>
                <w:p w:rsidR="00843726" w:rsidRDefault="00843726">
                  <w:pPr>
                    <w:pStyle w:val="ConsPlusNormal"/>
                    <w:jc w:val="both"/>
                  </w:pPr>
                  <w:r>
                    <w:t>предоставления налоговых льгот, предусмотренных мероприятиями государственной</w:t>
                  </w:r>
                </w:p>
                <w:p w:rsidR="00843726" w:rsidRDefault="00843726">
                  <w:pPr>
                    <w:pStyle w:val="ConsPlusNormal"/>
                    <w:jc w:val="both"/>
                  </w:pPr>
                  <w:r>
                    <w:t>программы</w:t>
                  </w:r>
                </w:p>
              </w:tc>
              <w:tc>
                <w:tcPr>
                  <w:tcW w:w="1115" w:type="dxa"/>
                  <w:vMerge w:val="restart"/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К14</w:t>
                  </w:r>
                </w:p>
              </w:tc>
              <w:tc>
                <w:tcPr>
                  <w:tcW w:w="1214" w:type="dxa"/>
                  <w:vMerge w:val="restart"/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1</w:t>
                  </w:r>
                </w:p>
              </w:tc>
              <w:tc>
                <w:tcPr>
                  <w:tcW w:w="2573" w:type="dxa"/>
                  <w:vMerge w:val="restart"/>
                </w:tcPr>
                <w:p w:rsidR="00843726" w:rsidRDefault="00843726">
                  <w:pPr>
                    <w:pStyle w:val="ConsPlusNormal"/>
                  </w:pPr>
                </w:p>
              </w:tc>
              <w:tc>
                <w:tcPr>
                  <w:tcW w:w="3367" w:type="dxa"/>
                </w:tcPr>
                <w:p w:rsidR="00843726" w:rsidRDefault="00843726">
                  <w:pPr>
                    <w:pStyle w:val="ConsPlusNormal"/>
                    <w:jc w:val="both"/>
                  </w:pPr>
                  <w:r>
                    <w:t>эффективность налоговых расходов имеется</w:t>
                  </w:r>
                </w:p>
              </w:tc>
              <w:tc>
                <w:tcPr>
                  <w:tcW w:w="1145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5</w:t>
                  </w:r>
                </w:p>
              </w:tc>
            </w:tr>
            <w:tr w:rsidR="00843726">
              <w:tc>
                <w:tcPr>
                  <w:tcW w:w="0" w:type="auto"/>
                  <w:vMerge/>
                  <w:tcBorders>
                    <w:left w:val="nil"/>
                  </w:tcBorders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3367" w:type="dxa"/>
                </w:tcPr>
                <w:p w:rsidR="00843726" w:rsidRDefault="00843726">
                  <w:pPr>
                    <w:pStyle w:val="ConsPlusNormal"/>
                    <w:jc w:val="both"/>
                  </w:pPr>
                  <w:r>
                    <w:t>эффективность налоговых расходов отсутствует</w:t>
                  </w:r>
                </w:p>
              </w:tc>
              <w:tc>
                <w:tcPr>
                  <w:tcW w:w="1145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0</w:t>
                  </w:r>
                </w:p>
              </w:tc>
            </w:tr>
            <w:tr w:rsidR="00843726">
              <w:tc>
                <w:tcPr>
                  <w:tcW w:w="0" w:type="auto"/>
                  <w:vMerge/>
                  <w:tcBorders>
                    <w:left w:val="nil"/>
                  </w:tcBorders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0" w:type="auto"/>
                  <w:vMerge/>
                </w:tcPr>
                <w:p w:rsidR="00843726" w:rsidRDefault="00843726"/>
              </w:tc>
              <w:tc>
                <w:tcPr>
                  <w:tcW w:w="3367" w:type="dxa"/>
                </w:tcPr>
                <w:p w:rsidR="00843726" w:rsidRDefault="00843726">
                  <w:pPr>
                    <w:pStyle w:val="ConsPlusNormal"/>
                    <w:jc w:val="both"/>
                  </w:pPr>
                  <w:r>
                    <w:t>государственной программой не предусмотрены налоговые расходы</w:t>
                  </w:r>
                </w:p>
              </w:tc>
              <w:tc>
                <w:tcPr>
                  <w:tcW w:w="1145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4".</w:t>
                  </w:r>
                </w:p>
              </w:tc>
            </w:tr>
          </w:tbl>
          <w:p w:rsidR="00843726" w:rsidRDefault="00843726"/>
        </w:tc>
      </w:tr>
    </w:tbl>
    <w:p w:rsidR="00843726" w:rsidRDefault="00843726">
      <w:pPr>
        <w:sectPr w:rsidR="008437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3726" w:rsidRDefault="008437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3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3726" w:rsidRDefault="00843726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11.03.2020 N 92 с 01.01.2021 табл. 1 будет дополнена сноской следующего содержания:</w:t>
            </w:r>
          </w:p>
          <w:p w:rsidR="00843726" w:rsidRDefault="00843726">
            <w:pPr>
              <w:pStyle w:val="ConsPlusNormal"/>
              <w:jc w:val="both"/>
            </w:pPr>
            <w:r>
              <w:rPr>
                <w:color w:val="392C69"/>
              </w:rPr>
              <w:t>"&lt;*&gt; При оценке комплексного критерия используются результаты оценки эффективности налоговых расходов Чувашской Республики за год, предшествующий году отчетности.".</w:t>
            </w:r>
          </w:p>
        </w:tc>
      </w:tr>
    </w:tbl>
    <w:p w:rsidR="00843726" w:rsidRDefault="00843726">
      <w:pPr>
        <w:pStyle w:val="ConsPlusNormal"/>
        <w:spacing w:before="280"/>
        <w:ind w:firstLine="540"/>
        <w:jc w:val="both"/>
      </w:pPr>
      <w:r>
        <w:t>4. Интегральный критерий рассчитывается как сумма произведений балльных оценок комплексных критериев и соответствующих весовых коэффициентов комплексных критериев.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 xml:space="preserve">В зависимости от значения интегрального критерия определяется количественное </w:t>
      </w:r>
      <w:hyperlink w:anchor="P301" w:history="1">
        <w:r>
          <w:rPr>
            <w:color w:val="0000FF"/>
          </w:rPr>
          <w:t>значение</w:t>
        </w:r>
      </w:hyperlink>
      <w:r>
        <w:t xml:space="preserve"> оценки эффективности государственной программы (далее - количественное значение) (табл. 2).</w:t>
      </w:r>
    </w:p>
    <w:p w:rsidR="00843726" w:rsidRDefault="0084372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3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3726" w:rsidRDefault="00843726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11.03.2020 N 92 с 01.01.2021 табл. 2 будет изложена в следующей редакции:</w:t>
            </w:r>
          </w:p>
          <w:p w:rsidR="00843726" w:rsidRDefault="00843726">
            <w:pPr>
              <w:pStyle w:val="ConsPlusNormal"/>
              <w:jc w:val="right"/>
            </w:pPr>
            <w:r>
              <w:rPr>
                <w:color w:val="392C69"/>
              </w:rPr>
              <w:t>"Таблица 2</w:t>
            </w:r>
          </w:p>
          <w:p w:rsidR="00843726" w:rsidRDefault="00843726">
            <w:pPr>
              <w:pStyle w:val="ConsPlusNormal"/>
              <w:jc w:val="both"/>
            </w:pPr>
          </w:p>
          <w:p w:rsidR="00843726" w:rsidRDefault="00843726">
            <w:pPr>
              <w:pStyle w:val="ConsPlusNormal"/>
              <w:jc w:val="center"/>
            </w:pPr>
            <w:r>
              <w:rPr>
                <w:color w:val="392C69"/>
              </w:rPr>
              <w:t>Количественное значение</w:t>
            </w:r>
          </w:p>
          <w:p w:rsidR="00843726" w:rsidRDefault="00843726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41"/>
              <w:gridCol w:w="5046"/>
            </w:tblGrid>
            <w:tr w:rsidR="00843726">
              <w:tc>
                <w:tcPr>
                  <w:tcW w:w="3941" w:type="dxa"/>
                  <w:tcBorders>
                    <w:lef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Значение интегрального критерия, баллов</w:t>
                  </w:r>
                </w:p>
              </w:tc>
              <w:tc>
                <w:tcPr>
                  <w:tcW w:w="5046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Характеристика оценки государственной программы</w:t>
                  </w:r>
                </w:p>
              </w:tc>
            </w:tr>
            <w:tr w:rsidR="00843726">
              <w:tc>
                <w:tcPr>
                  <w:tcW w:w="3941" w:type="dxa"/>
                  <w:tcBorders>
                    <w:lef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от 45 до 50</w:t>
                  </w:r>
                </w:p>
              </w:tc>
              <w:tc>
                <w:tcPr>
                  <w:tcW w:w="5046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</w:pPr>
                  <w:r>
                    <w:t>высокоэффективная</w:t>
                  </w:r>
                </w:p>
              </w:tc>
            </w:tr>
            <w:tr w:rsidR="00843726">
              <w:tc>
                <w:tcPr>
                  <w:tcW w:w="3941" w:type="dxa"/>
                  <w:tcBorders>
                    <w:lef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от 35 до 45</w:t>
                  </w:r>
                </w:p>
              </w:tc>
              <w:tc>
                <w:tcPr>
                  <w:tcW w:w="5046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</w:pPr>
                  <w:r>
                    <w:t>эффективная</w:t>
                  </w:r>
                </w:p>
              </w:tc>
            </w:tr>
            <w:tr w:rsidR="00843726">
              <w:tc>
                <w:tcPr>
                  <w:tcW w:w="3941" w:type="dxa"/>
                  <w:tcBorders>
                    <w:lef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от 25 до 35</w:t>
                  </w:r>
                </w:p>
              </w:tc>
              <w:tc>
                <w:tcPr>
                  <w:tcW w:w="5046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</w:pPr>
                  <w:r>
                    <w:t>умеренно эффективная</w:t>
                  </w:r>
                </w:p>
              </w:tc>
            </w:tr>
            <w:tr w:rsidR="00843726">
              <w:tc>
                <w:tcPr>
                  <w:tcW w:w="3941" w:type="dxa"/>
                  <w:tcBorders>
                    <w:left w:val="nil"/>
                  </w:tcBorders>
                </w:tcPr>
                <w:p w:rsidR="00843726" w:rsidRDefault="00843726">
                  <w:pPr>
                    <w:pStyle w:val="ConsPlusNormal"/>
                    <w:jc w:val="center"/>
                  </w:pPr>
                  <w:r>
                    <w:t>от 0 до 25</w:t>
                  </w:r>
                </w:p>
              </w:tc>
              <w:tc>
                <w:tcPr>
                  <w:tcW w:w="5046" w:type="dxa"/>
                  <w:tcBorders>
                    <w:right w:val="nil"/>
                  </w:tcBorders>
                </w:tcPr>
                <w:p w:rsidR="00843726" w:rsidRDefault="00843726">
                  <w:pPr>
                    <w:pStyle w:val="ConsPlusNormal"/>
                  </w:pPr>
                  <w:r>
                    <w:t>неэффективная".</w:t>
                  </w:r>
                </w:p>
              </w:tc>
            </w:tr>
          </w:tbl>
          <w:p w:rsidR="00843726" w:rsidRDefault="00843726"/>
        </w:tc>
      </w:tr>
    </w:tbl>
    <w:p w:rsidR="00843726" w:rsidRDefault="00843726">
      <w:pPr>
        <w:pStyle w:val="ConsPlusNormal"/>
        <w:spacing w:before="280"/>
        <w:jc w:val="right"/>
        <w:outlineLvl w:val="1"/>
      </w:pPr>
      <w:r>
        <w:t>Таблица 2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Title"/>
        <w:jc w:val="center"/>
      </w:pPr>
      <w:bookmarkStart w:id="2" w:name="P301"/>
      <w:bookmarkEnd w:id="2"/>
      <w:r>
        <w:t>Количественное значение</w:t>
      </w:r>
    </w:p>
    <w:p w:rsidR="00843726" w:rsidRDefault="008437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843726">
        <w:tc>
          <w:tcPr>
            <w:tcW w:w="3828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Значение интегрального критерия, баллов</w:t>
            </w:r>
          </w:p>
        </w:tc>
        <w:tc>
          <w:tcPr>
            <w:tcW w:w="5103" w:type="dxa"/>
            <w:tcBorders>
              <w:righ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Характеристика оценки государственной программы</w:t>
            </w:r>
          </w:p>
        </w:tc>
      </w:tr>
      <w:tr w:rsidR="00843726">
        <w:tc>
          <w:tcPr>
            <w:tcW w:w="3828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от 40 до 45</w:t>
            </w:r>
          </w:p>
        </w:tc>
        <w:tc>
          <w:tcPr>
            <w:tcW w:w="5103" w:type="dxa"/>
            <w:tcBorders>
              <w:right w:val="nil"/>
            </w:tcBorders>
          </w:tcPr>
          <w:p w:rsidR="00843726" w:rsidRDefault="00843726">
            <w:pPr>
              <w:pStyle w:val="ConsPlusNormal"/>
            </w:pPr>
            <w:r>
              <w:t>высокоэффективная</w:t>
            </w:r>
          </w:p>
        </w:tc>
      </w:tr>
      <w:tr w:rsidR="00843726">
        <w:tc>
          <w:tcPr>
            <w:tcW w:w="3828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от 30 до 40</w:t>
            </w:r>
          </w:p>
        </w:tc>
        <w:tc>
          <w:tcPr>
            <w:tcW w:w="5103" w:type="dxa"/>
            <w:tcBorders>
              <w:right w:val="nil"/>
            </w:tcBorders>
          </w:tcPr>
          <w:p w:rsidR="00843726" w:rsidRDefault="00843726">
            <w:pPr>
              <w:pStyle w:val="ConsPlusNormal"/>
            </w:pPr>
            <w:r>
              <w:t>эффективная</w:t>
            </w:r>
          </w:p>
        </w:tc>
      </w:tr>
      <w:tr w:rsidR="00843726">
        <w:tc>
          <w:tcPr>
            <w:tcW w:w="3828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от 20 до 30</w:t>
            </w:r>
          </w:p>
        </w:tc>
        <w:tc>
          <w:tcPr>
            <w:tcW w:w="5103" w:type="dxa"/>
            <w:tcBorders>
              <w:right w:val="nil"/>
            </w:tcBorders>
          </w:tcPr>
          <w:p w:rsidR="00843726" w:rsidRDefault="00843726">
            <w:pPr>
              <w:pStyle w:val="ConsPlusNormal"/>
            </w:pPr>
            <w:r>
              <w:t>умеренно эффективная</w:t>
            </w:r>
          </w:p>
        </w:tc>
      </w:tr>
      <w:tr w:rsidR="00843726">
        <w:tc>
          <w:tcPr>
            <w:tcW w:w="3828" w:type="dxa"/>
            <w:tcBorders>
              <w:left w:val="nil"/>
            </w:tcBorders>
          </w:tcPr>
          <w:p w:rsidR="00843726" w:rsidRDefault="00843726">
            <w:pPr>
              <w:pStyle w:val="ConsPlusNormal"/>
              <w:jc w:val="center"/>
            </w:pPr>
            <w:r>
              <w:t>от 7 до 20</w:t>
            </w:r>
          </w:p>
        </w:tc>
        <w:tc>
          <w:tcPr>
            <w:tcW w:w="5103" w:type="dxa"/>
            <w:tcBorders>
              <w:right w:val="nil"/>
            </w:tcBorders>
          </w:tcPr>
          <w:p w:rsidR="00843726" w:rsidRDefault="00843726">
            <w:pPr>
              <w:pStyle w:val="ConsPlusNormal"/>
            </w:pPr>
            <w:r>
              <w:t>неэффективная</w:t>
            </w:r>
          </w:p>
        </w:tc>
      </w:tr>
    </w:tbl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ind w:firstLine="540"/>
        <w:jc w:val="both"/>
      </w:pPr>
      <w:r>
        <w:t xml:space="preserve">На основе количественного значения по каждой государственной программе Министерство экономического развития и имущественных отношений Чувашской Республики в составе годового доклада о ходе реализации и оценке эффективности государственных программ по согласованию с Министерством финансов Чувашской Республики в срок до 15 марта года, следующего за отчетным, вносит в Кабинет Министров Чувашской Республики предложение о сохранении на уровне плановых значений, установленных государственной программой, или о сокращении бюджетных ассигнований республиканского бюджета Чувашской Республики на реализацию государственной программы на очередной финансовый год в зависимости от степени достижения </w:t>
      </w:r>
      <w:r>
        <w:lastRenderedPageBreak/>
        <w:t>целевых показателей (индикаторов) государственной программы (подпрограмм) и выполнения основных мероприятий подпрограмм.</w:t>
      </w:r>
    </w:p>
    <w:p w:rsidR="00843726" w:rsidRDefault="00843726">
      <w:pPr>
        <w:pStyle w:val="ConsPlusNormal"/>
        <w:jc w:val="both"/>
      </w:pPr>
      <w:r>
        <w:t xml:space="preserve">(в ред. Постановлений Кабинета Министров ЧР от 10.05.2018 </w:t>
      </w:r>
      <w:hyperlink r:id="rId48" w:history="1">
        <w:r>
          <w:rPr>
            <w:color w:val="0000FF"/>
          </w:rPr>
          <w:t>N 178</w:t>
        </w:r>
      </w:hyperlink>
      <w:r>
        <w:t xml:space="preserve">, от 11.03.2020 </w:t>
      </w:r>
      <w:hyperlink r:id="rId49" w:history="1">
        <w:r>
          <w:rPr>
            <w:color w:val="0000FF"/>
          </w:rPr>
          <w:t>N 92</w:t>
        </w:r>
      </w:hyperlink>
      <w:r>
        <w:t>)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>Количественные значения по каждой государственной программе подлежат корректировке с учетом уточненных сведений о степени соответствия установленных и достигнутых целевых показателей (индикаторов) государственных программ за отчетный год и в срок до 20 августа года, следующего за отчетным, представляются Министерством экономического развития и имущественных отношений Чувашской Республики в Кабинет Министров Чувашской Республики в составе уточненного сводного годового доклада о ходе реализации и оценке эффективности государственных программ.</w:t>
      </w:r>
    </w:p>
    <w:p w:rsidR="00843726" w:rsidRDefault="00843726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10.05.2018 N 178;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11.03.2020 N 92)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>5. Руководители органов исполнительной власти Чувашской Республики, являющихся ответственными исполнителями, соисполнителями и участниками государственных программ, несут персональную ответственность за эффективность государственных программ, подпрограмм государственных программ и основных мероприятий подпрограмм государственной программы.</w:t>
      </w:r>
    </w:p>
    <w:p w:rsidR="00843726" w:rsidRDefault="00843726">
      <w:pPr>
        <w:pStyle w:val="ConsPlusNormal"/>
        <w:spacing w:before="220"/>
        <w:ind w:firstLine="540"/>
        <w:jc w:val="both"/>
      </w:pPr>
      <w:r>
        <w:t xml:space="preserve">По итогам оценки эффективности государственных программ Кабинетом Министров Чувашской Республики может быть принято решение о премировании (депремировании) руководителей органов исполнительной власти Чувашской Республики в соответствии с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11 августа 2017 г. N 318 "О некоторых вопросах обеспечения деятельности лиц, замещающих отдельные государственные должности Чувашской Республики и должности государственной гражданской службы Чувашской Республики".</w:t>
      </w:r>
    </w:p>
    <w:p w:rsidR="00843726" w:rsidRDefault="0084372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178)</w:t>
      </w: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jc w:val="both"/>
      </w:pPr>
    </w:p>
    <w:p w:rsidR="00843726" w:rsidRDefault="008437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E20" w:rsidRDefault="005D6E20">
      <w:bookmarkStart w:id="3" w:name="_GoBack"/>
      <w:bookmarkEnd w:id="3"/>
    </w:p>
    <w:sectPr w:rsidR="005D6E20" w:rsidSect="007977D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26"/>
    <w:rsid w:val="005D6E20"/>
    <w:rsid w:val="008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6FA2A11963EF9B06A1F46D01D75F7DBB18FF38FCF329BFF575257EA730F4A4D72AFD16D5BCDF5B9E7307E07ACEA3A2B8D5DC57C7D7A336BC4F162CXDe2F" TargetMode="External"/><Relationship Id="rId18" Type="http://schemas.openxmlformats.org/officeDocument/2006/relationships/hyperlink" Target="consultantplus://offline/ref=326FA2A11963EF9B06A1F46D01D75F7DBB18FF38FCF129BCF074257EA730F4A4D72AFD16D5BCDF5B9E7307E678CEA3A2B8D5DC57C7D7A336BC4F162CXDe2F" TargetMode="External"/><Relationship Id="rId26" Type="http://schemas.openxmlformats.org/officeDocument/2006/relationships/image" Target="media/image8.wmf"/><Relationship Id="rId39" Type="http://schemas.openxmlformats.org/officeDocument/2006/relationships/image" Target="media/image19.wmf"/><Relationship Id="rId21" Type="http://schemas.openxmlformats.org/officeDocument/2006/relationships/image" Target="media/image3.wmf"/><Relationship Id="rId34" Type="http://schemas.openxmlformats.org/officeDocument/2006/relationships/image" Target="media/image14.wmf"/><Relationship Id="rId42" Type="http://schemas.openxmlformats.org/officeDocument/2006/relationships/image" Target="media/image22.wmf"/><Relationship Id="rId47" Type="http://schemas.openxmlformats.org/officeDocument/2006/relationships/hyperlink" Target="consultantplus://offline/ref=326FA2A11963EF9B06A1F46D01D75F7DBB18FF38FCF129BCF074257EA730F4A4D72AFD16D5BCDF5B9E7306E77BCEA3A2B8D5DC57C7D7A336BC4F162CXDe2F" TargetMode="External"/><Relationship Id="rId50" Type="http://schemas.openxmlformats.org/officeDocument/2006/relationships/hyperlink" Target="consultantplus://offline/ref=326FA2A11963EF9B06A1F46D01D75F7DBB18FF38FCF329BFF575257EA730F4A4D72AFD16D5BCDF5B9E7307E07ECEA3A2B8D5DC57C7D7A336BC4F162CXDe2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26FA2A11963EF9B06A1F46D01D75F7DBB18FF38F8FA2FB8F77C7874AF69F8A6D025A201D2F5D35A9E7301E17391A6B7A98DD356DAC8A228A04D14X2eE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9" Type="http://schemas.openxmlformats.org/officeDocument/2006/relationships/hyperlink" Target="consultantplus://offline/ref=326FA2A11963EF9B06A1F46D01D75F7DBB18FF38FCF129BCF074257EA730F4A4D72AFD16D5BCDF5B9E7307E178CEA3A2B8D5DC57C7D7A336BC4F162CXDe2F" TargetMode="External"/><Relationship Id="rId11" Type="http://schemas.openxmlformats.org/officeDocument/2006/relationships/hyperlink" Target="consultantplus://offline/ref=326FA2A11963EF9B06A1F46D01D75F7DBB18FF38FCF129BCF074257EA730F4A4D72AFD16D5BCDF5B9E7307E77ECEA3A2B8D5DC57C7D7A336BC4F162CXDe2F" TargetMode="External"/><Relationship Id="rId24" Type="http://schemas.openxmlformats.org/officeDocument/2006/relationships/image" Target="media/image6.wmf"/><Relationship Id="rId32" Type="http://schemas.openxmlformats.org/officeDocument/2006/relationships/hyperlink" Target="consultantplus://offline/ref=326FA2A11963EF9B06A1F46D01D75F7DBB18FF38FCF329BFF575257EA730F4A4D72AFD16D5BCDF5B9E7307E07BCEA3A2B8D5DC57C7D7A336BC4F162CXDe2F" TargetMode="External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45" Type="http://schemas.openxmlformats.org/officeDocument/2006/relationships/hyperlink" Target="consultantplus://offline/ref=326FA2A11963EF9B06A1F46D01D75F7DBB18FF38FCF129BCF074257EA730F4A4D72AFD16D5BCDF5B9E7307EF78CEA3A2B8D5DC57C7D7A336BC4F162CXDe2F" TargetMode="External"/><Relationship Id="rId53" Type="http://schemas.openxmlformats.org/officeDocument/2006/relationships/hyperlink" Target="consultantplus://offline/ref=326FA2A11963EF9B06A1F46D01D75F7DBB18FF38FCF329BFF575257EA730F4A4D72AFD16D5BCDF5B9E7307E070CEA3A2B8D5DC57C7D7A336BC4F162CXDe2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26FA2A11963EF9B06A1F46D01D75F7DBB18FF38FCF129BCF074257EA730F4A4D72AFD16D5BCDF5B9E7307E77DCEA3A2B8D5DC57C7D7A336BC4F162CXDe2F" TargetMode="External"/><Relationship Id="rId19" Type="http://schemas.openxmlformats.org/officeDocument/2006/relationships/hyperlink" Target="consultantplus://offline/ref=326FA2A11963EF9B06A1F46D01D75F7DBB18FF38FCF129BCF074257EA730F4A4D72AFD16D5BCDF5B9E7307E47BCEA3A2B8D5DC57C7D7A336BC4F162CXDe2F" TargetMode="External"/><Relationship Id="rId31" Type="http://schemas.openxmlformats.org/officeDocument/2006/relationships/image" Target="media/image12.wmf"/><Relationship Id="rId44" Type="http://schemas.openxmlformats.org/officeDocument/2006/relationships/image" Target="media/image24.wmf"/><Relationship Id="rId52" Type="http://schemas.openxmlformats.org/officeDocument/2006/relationships/hyperlink" Target="consultantplus://offline/ref=326FA2A11963EF9B06A1F46D01D75F7DBB18FF38FCF122BCF674257EA730F4A4D72AFD16C7BC87579C7019E678DBF5F3FEX8e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6FA2A11963EF9B06A1F46D01D75F7DBB18FF38FCF329BFF575257EA730F4A4D72AFD16D5BCDF5B9E7307E079CEA3A2B8D5DC57C7D7A336BC4F162CXDe2F" TargetMode="External"/><Relationship Id="rId14" Type="http://schemas.openxmlformats.org/officeDocument/2006/relationships/hyperlink" Target="consultantplus://offline/ref=326FA2A11963EF9B06A1F46D01D75F7DBB18FF38FCF129BCF074257EA730F4A4D72AFD16D5BCDF5B9E7307E77FCEA3A2B8D5DC57C7D7A336BC4F162CXDe2F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image" Target="media/image11.wmf"/><Relationship Id="rId35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hyperlink" Target="consultantplus://offline/ref=326FA2A11963EF9B06A1F46D01D75F7DBB18FF38FCF329BFF575257EA730F4A4D72AFD16D5BCDF5B9E7307E07DCEA3A2B8D5DC57C7D7A336BC4F162CXDe2F" TargetMode="External"/><Relationship Id="rId8" Type="http://schemas.openxmlformats.org/officeDocument/2006/relationships/hyperlink" Target="consultantplus://offline/ref=326FA2A11963EF9B06A1F46D01D75F7DBB18FF38FAF02ABDF27C7874AF69F8A6D025A201D2F5D35A9E7307E27391A6B7A98DD356DAC8A228A04D14X2eEF" TargetMode="External"/><Relationship Id="rId51" Type="http://schemas.openxmlformats.org/officeDocument/2006/relationships/hyperlink" Target="consultantplus://offline/ref=326FA2A11963EF9B06A1F46D01D75F7DBB18FF38FCF129BCF074257EA730F4A4D72AFD16D5BCDF5B9E7306E67FCEA3A2B8D5DC57C7D7A336BC4F162CXDe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6FA2A11963EF9B06A1F46D01D75F7DBB18FF38FAF02ABDF27C7874AF69F8A6D025A201D2F5D35A9E7307E27391A6B7A98DD356DAC8A228A04D14X2eEF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7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hyperlink" Target="consultantplus://offline/ref=326FA2A11963EF9B06A1F46D01D75F7DBB18FF38FCF129BCF074257EA730F4A4D72AFD16D5BCDF5B9E7306E778CEA3A2B8D5DC57C7D7A336BC4F162CXDe2F" TargetMode="External"/><Relationship Id="rId20" Type="http://schemas.openxmlformats.org/officeDocument/2006/relationships/hyperlink" Target="consultantplus://offline/ref=326FA2A11963EF9B06A1F46D01D75F7DBB18FF38FCF129BCF074257EA730F4A4D72AFD16D5BCDF5B9E7307E37FCEA3A2B8D5DC57C7D7A336BC4F162CXDe2F" TargetMode="External"/><Relationship Id="rId41" Type="http://schemas.openxmlformats.org/officeDocument/2006/relationships/image" Target="media/image21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FA2A11963EF9B06A1F46D01D75F7DBB18FF38FCF129B8F177257EA730F4A4D72AFD16D5BCDF5B9E7306E578CEA3A2B8D5DC57C7D7A336BC4F162CXDe2F" TargetMode="External"/><Relationship Id="rId15" Type="http://schemas.openxmlformats.org/officeDocument/2006/relationships/hyperlink" Target="consultantplus://offline/ref=326FA2A11963EF9B06A1F46D01D75F7DBB18FF38FCF129BCF074257EA730F4A4D72AFD16D5BCDF5B9E7307E770CEA3A2B8D5DC57C7D7A336BC4F162CXDe2F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image" Target="media/image16.wmf"/><Relationship Id="rId49" Type="http://schemas.openxmlformats.org/officeDocument/2006/relationships/hyperlink" Target="consultantplus://offline/ref=326FA2A11963EF9B06A1F46D01D75F7DBB18FF38FCF129BCF074257EA730F4A4D72AFD16D5BCDF5B9E7306E67ECEA3A2B8D5DC57C7D7A336BC4F162CX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economy11 (Капитонова С.Н.)</dc:creator>
  <cp:lastModifiedBy>economy11 (Капитонова С.Н.)</cp:lastModifiedBy>
  <cp:revision>1</cp:revision>
  <dcterms:created xsi:type="dcterms:W3CDTF">2020-10-23T05:30:00Z</dcterms:created>
  <dcterms:modified xsi:type="dcterms:W3CDTF">2020-10-23T05:31:00Z</dcterms:modified>
</cp:coreProperties>
</file>