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Ind w:w="-612" w:type="dxa"/>
        <w:tblLook w:val="01E0" w:firstRow="1" w:lastRow="1" w:firstColumn="1" w:lastColumn="1" w:noHBand="0" w:noVBand="0"/>
      </w:tblPr>
      <w:tblGrid>
        <w:gridCol w:w="4140"/>
        <w:gridCol w:w="1980"/>
        <w:gridCol w:w="4154"/>
      </w:tblGrid>
      <w:tr w:rsidR="00BE3EEC" w:rsidTr="00C81683">
        <w:trPr>
          <w:trHeight w:val="2541"/>
        </w:trPr>
        <w:tc>
          <w:tcPr>
            <w:tcW w:w="4140" w:type="dxa"/>
          </w:tcPr>
          <w:p w:rsidR="00096DA3" w:rsidRDefault="00BE3EEC" w:rsidP="00096DA3">
            <w:pPr>
              <w:pStyle w:val="1"/>
              <w:framePr w:w="0" w:h="0" w:hSpace="0" w:wrap="auto" w:vAnchor="margin" w:hAnchor="text" w:xAlign="left" w:yAlign="inline"/>
              <w:rPr>
                <w:rFonts w:ascii="Times New Roman" w:eastAsiaTheme="minorEastAsia" w:hAnsi="Times New Roman"/>
                <w:sz w:val="27"/>
              </w:rPr>
            </w:pPr>
            <w:proofErr w:type="spellStart"/>
            <w:r>
              <w:rPr>
                <w:rFonts w:ascii="Times New Roman" w:eastAsiaTheme="minorEastAsia" w:hAnsi="Times New Roman"/>
                <w:sz w:val="27"/>
              </w:rPr>
              <w:t>Ч</w:t>
            </w:r>
            <w:r w:rsidR="002E73D4">
              <w:rPr>
                <w:rFonts w:ascii="Times New Roman" w:eastAsiaTheme="minorEastAsia" w:hAnsi="Times New Roman"/>
                <w:sz w:val="27"/>
              </w:rPr>
              <w:t>а</w:t>
            </w:r>
            <w:r>
              <w:rPr>
                <w:rFonts w:ascii="Times New Roman" w:eastAsiaTheme="minorEastAsia" w:hAnsi="Times New Roman"/>
                <w:sz w:val="27"/>
              </w:rPr>
              <w:t>ваш</w:t>
            </w:r>
            <w:proofErr w:type="spellEnd"/>
            <w:r>
              <w:rPr>
                <w:rFonts w:ascii="TimesEC" w:eastAsiaTheme="minorEastAsia" w:hAnsi="TimesEC" w:cs="TimesEC"/>
                <w:sz w:val="27"/>
              </w:rPr>
              <w:t xml:space="preserve"> </w:t>
            </w:r>
            <w:r>
              <w:rPr>
                <w:rFonts w:ascii="Times New Roman" w:eastAsiaTheme="minorEastAsia" w:hAnsi="Times New Roman"/>
                <w:sz w:val="27"/>
              </w:rPr>
              <w:t>Республики</w:t>
            </w:r>
          </w:p>
          <w:p w:rsidR="00BE3EEC" w:rsidRPr="00096DA3" w:rsidRDefault="00BE3EEC" w:rsidP="00096DA3">
            <w:pPr>
              <w:pStyle w:val="1"/>
              <w:framePr w:w="0" w:h="0" w:hSpace="0" w:wrap="auto" w:vAnchor="margin" w:hAnchor="text" w:xAlign="left" w:yAlign="inline"/>
              <w:rPr>
                <w:rFonts w:ascii="TimesEC" w:eastAsiaTheme="minorEastAsia" w:hAnsi="TimesEC" w:cstheme="minorBidi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Улат</w:t>
            </w:r>
            <w:r w:rsidR="002E73D4">
              <w:rPr>
                <w:rFonts w:ascii="Times New Roman" w:hAnsi="Times New Roman"/>
                <w:sz w:val="27"/>
              </w:rPr>
              <w:t>а</w:t>
            </w:r>
            <w:r>
              <w:rPr>
                <w:rFonts w:ascii="Times New Roman" w:hAnsi="Times New Roman"/>
                <w:sz w:val="27"/>
              </w:rPr>
              <w:t>р</w:t>
            </w:r>
            <w:proofErr w:type="spellEnd"/>
            <w:r>
              <w:rPr>
                <w:rFonts w:ascii="TimesEC" w:hAnsi="TimesEC" w:cs="TimesEC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хула</w:t>
            </w:r>
            <w:r>
              <w:rPr>
                <w:rFonts w:ascii="TimesEC" w:hAnsi="TimesEC" w:cs="TimesEC"/>
                <w:sz w:val="27"/>
              </w:rPr>
              <w:t xml:space="preserve"> </w:t>
            </w:r>
          </w:p>
          <w:p w:rsidR="00BE3EEC" w:rsidRDefault="00BE3EEC">
            <w:pPr>
              <w:jc w:val="center"/>
              <w:rPr>
                <w:rFonts w:ascii="TimesEC" w:hAnsi="TimesEC"/>
                <w:b/>
                <w:sz w:val="27"/>
              </w:rPr>
            </w:pPr>
            <w:r>
              <w:rPr>
                <w:rFonts w:ascii="TimesEC" w:hAnsi="TimesEC"/>
                <w:b/>
                <w:sz w:val="27"/>
              </w:rPr>
              <w:t>АДМИНИСТРАЦИЙЕ</w:t>
            </w:r>
          </w:p>
          <w:p w:rsidR="00BE3EEC" w:rsidRDefault="00BE3EEC">
            <w:pPr>
              <w:jc w:val="center"/>
              <w:rPr>
                <w:rFonts w:ascii="TimesEC" w:hAnsi="TimesEC"/>
                <w:bCs/>
                <w:sz w:val="16"/>
              </w:rPr>
            </w:pPr>
          </w:p>
          <w:p w:rsidR="00BE3EEC" w:rsidRDefault="00BE3EEC">
            <w:pPr>
              <w:pStyle w:val="a7"/>
              <w:framePr w:w="0" w:h="0" w:hSpace="0" w:wrap="auto" w:vAnchor="margin" w:hAnchor="text" w:xAlign="left" w:yAlign="inline"/>
              <w:ind w:firstLine="0"/>
              <w:rPr>
                <w:rFonts w:ascii="TimesEC" w:hAnsi="TimesEC"/>
                <w:sz w:val="27"/>
              </w:rPr>
            </w:pPr>
            <w:r>
              <w:rPr>
                <w:rFonts w:ascii="TimesEC" w:hAnsi="TimesEC"/>
                <w:sz w:val="27"/>
              </w:rPr>
              <w:t>ЙЫШАНУ</w:t>
            </w:r>
          </w:p>
          <w:p w:rsidR="00096DA3" w:rsidRDefault="00096DA3" w:rsidP="00096DA3">
            <w:pPr>
              <w:jc w:val="center"/>
              <w:rPr>
                <w:rFonts w:ascii="TimesEC" w:hAnsi="TimesEC"/>
                <w:sz w:val="26"/>
              </w:rPr>
            </w:pPr>
          </w:p>
          <w:p w:rsidR="00BE3EEC" w:rsidRPr="00096DA3" w:rsidRDefault="00C4426F" w:rsidP="00096DA3">
            <w:pPr>
              <w:jc w:val="center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« 11</w:t>
            </w:r>
            <w:r w:rsidR="00096DA3" w:rsidRPr="00096DA3">
              <w:rPr>
                <w:rFonts w:ascii="TimesET" w:hAnsi="TimesET"/>
                <w:sz w:val="24"/>
                <w:szCs w:val="24"/>
              </w:rPr>
              <w:t xml:space="preserve"> </w:t>
            </w:r>
            <w:r w:rsidR="00C81683" w:rsidRPr="00096DA3">
              <w:rPr>
                <w:rFonts w:ascii="TimesET" w:hAnsi="TimesET"/>
                <w:sz w:val="24"/>
                <w:szCs w:val="24"/>
              </w:rPr>
              <w:t xml:space="preserve">» </w:t>
            </w:r>
            <w:r w:rsidR="001D5609">
              <w:rPr>
                <w:rFonts w:ascii="TimesET" w:hAnsi="TimesET"/>
                <w:sz w:val="24"/>
                <w:szCs w:val="24"/>
              </w:rPr>
              <w:t>11.</w:t>
            </w:r>
            <w:bookmarkStart w:id="0" w:name="_GoBack"/>
            <w:bookmarkEnd w:id="0"/>
            <w:r w:rsidR="00BE3EEC" w:rsidRPr="00096DA3">
              <w:rPr>
                <w:rFonts w:ascii="TimesET" w:hAnsi="TimesET"/>
                <w:sz w:val="24"/>
                <w:szCs w:val="24"/>
              </w:rPr>
              <w:t>2020</w:t>
            </w:r>
            <w:r w:rsidR="00AC509B" w:rsidRPr="00096DA3">
              <w:rPr>
                <w:rFonts w:ascii="TimesET" w:hAnsi="TimesET"/>
                <w:sz w:val="24"/>
                <w:szCs w:val="24"/>
              </w:rPr>
              <w:t xml:space="preserve"> </w:t>
            </w:r>
            <w:r w:rsidR="009E27C0" w:rsidRPr="00096DA3">
              <w:rPr>
                <w:rFonts w:ascii="TimesET" w:hAnsi="TimesET"/>
                <w:sz w:val="24"/>
                <w:szCs w:val="24"/>
              </w:rPr>
              <w:t>г. №</w:t>
            </w:r>
            <w:r>
              <w:rPr>
                <w:rFonts w:ascii="TimesET" w:hAnsi="TimesET"/>
                <w:sz w:val="24"/>
                <w:szCs w:val="24"/>
              </w:rPr>
              <w:t xml:space="preserve"> 676</w:t>
            </w:r>
          </w:p>
          <w:p w:rsidR="00BE3EEC" w:rsidRDefault="00BE3EEC">
            <w:pPr>
              <w:rPr>
                <w:rFonts w:ascii="TimesEC" w:hAnsi="TimesEC"/>
                <w:sz w:val="16"/>
              </w:rPr>
            </w:pPr>
          </w:p>
          <w:p w:rsidR="00BE3EEC" w:rsidRDefault="00BE3EEC" w:rsidP="00C81683">
            <w:pPr>
              <w:jc w:val="center"/>
              <w:rPr>
                <w:rFonts w:ascii="TimesEC" w:hAnsi="TimesEC"/>
                <w:sz w:val="24"/>
                <w:szCs w:val="24"/>
              </w:rPr>
            </w:pPr>
            <w:proofErr w:type="spellStart"/>
            <w:r>
              <w:rPr>
                <w:rFonts w:ascii="TimesEC" w:hAnsi="TimesEC"/>
                <w:sz w:val="24"/>
              </w:rPr>
              <w:t>Улат</w:t>
            </w:r>
            <w:r w:rsidR="002E73D4">
              <w:rPr>
                <w:rFonts w:ascii="TimesEC" w:hAnsi="TimesEC"/>
                <w:sz w:val="24"/>
              </w:rPr>
              <w:t>а</w:t>
            </w:r>
            <w:r>
              <w:rPr>
                <w:rFonts w:ascii="TimesEC" w:hAnsi="TimesEC"/>
                <w:sz w:val="24"/>
              </w:rPr>
              <w:t>р</w:t>
            </w:r>
            <w:proofErr w:type="spellEnd"/>
            <w:r>
              <w:rPr>
                <w:rFonts w:ascii="TimesEC" w:hAnsi="TimesEC"/>
                <w:sz w:val="24"/>
              </w:rPr>
              <w:t xml:space="preserve"> хули</w:t>
            </w:r>
          </w:p>
        </w:tc>
        <w:tc>
          <w:tcPr>
            <w:tcW w:w="1980" w:type="dxa"/>
            <w:hideMark/>
          </w:tcPr>
          <w:p w:rsidR="00BE3EEC" w:rsidRDefault="00BE3EEC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  <w:lang w:bidi="ar-SA"/>
              </w:rPr>
              <w:drawing>
                <wp:inline distT="0" distB="0" distL="0" distR="0">
                  <wp:extent cx="904875" cy="1238250"/>
                  <wp:effectExtent l="19050" t="0" r="9525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</w:tcPr>
          <w:p w:rsidR="00BE3EEC" w:rsidRDefault="00BE3EE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4"/>
              </w:rPr>
              <w:t>ЧУВАШСКАЯ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РЕСПУБЛИКА</w:t>
            </w:r>
          </w:p>
          <w:p w:rsidR="00BE3EEC" w:rsidRDefault="00BE3E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</w:t>
            </w:r>
          </w:p>
          <w:p w:rsidR="00BE3EEC" w:rsidRDefault="00BE3EEC">
            <w:pPr>
              <w:jc w:val="center"/>
              <w:rPr>
                <w:rFonts w:ascii="TimesET" w:hAnsi="TimesET"/>
                <w:sz w:val="26"/>
              </w:rPr>
            </w:pPr>
            <w:r>
              <w:rPr>
                <w:b/>
                <w:sz w:val="28"/>
              </w:rPr>
              <w:t xml:space="preserve">города Алатыря </w:t>
            </w:r>
          </w:p>
          <w:p w:rsidR="00BE3EEC" w:rsidRDefault="00BE3EEC">
            <w:pPr>
              <w:jc w:val="center"/>
              <w:rPr>
                <w:rFonts w:ascii="TimesET" w:hAnsi="TimesET"/>
              </w:rPr>
            </w:pPr>
          </w:p>
          <w:p w:rsidR="00BE3EEC" w:rsidRDefault="00BE3E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C81683" w:rsidRDefault="00C81683" w:rsidP="00C81683">
            <w:pPr>
              <w:rPr>
                <w:rFonts w:ascii="TimesET" w:hAnsi="TimesET"/>
              </w:rPr>
            </w:pPr>
          </w:p>
          <w:p w:rsidR="00BE3EEC" w:rsidRPr="00096DA3" w:rsidRDefault="009E27C0" w:rsidP="00C81683">
            <w:pPr>
              <w:jc w:val="center"/>
              <w:rPr>
                <w:rFonts w:ascii="TimesEC" w:hAnsi="TimesEC"/>
                <w:sz w:val="24"/>
                <w:szCs w:val="24"/>
              </w:rPr>
            </w:pPr>
            <w:r w:rsidRPr="00096DA3">
              <w:rPr>
                <w:rFonts w:ascii="TimesET" w:hAnsi="TimesET"/>
                <w:sz w:val="24"/>
                <w:szCs w:val="24"/>
              </w:rPr>
              <w:t>«</w:t>
            </w:r>
            <w:r w:rsidR="00C4426F">
              <w:rPr>
                <w:rFonts w:ascii="TimesET" w:hAnsi="TimesET"/>
                <w:sz w:val="24"/>
                <w:szCs w:val="24"/>
              </w:rPr>
              <w:t xml:space="preserve"> 11</w:t>
            </w:r>
            <w:r w:rsidR="00096DA3" w:rsidRPr="00096DA3">
              <w:rPr>
                <w:rFonts w:ascii="TimesET" w:hAnsi="TimesET"/>
                <w:sz w:val="24"/>
                <w:szCs w:val="24"/>
              </w:rPr>
              <w:t xml:space="preserve">  </w:t>
            </w:r>
            <w:r w:rsidRPr="00096DA3">
              <w:rPr>
                <w:rFonts w:ascii="TimesET" w:hAnsi="TimesET"/>
                <w:sz w:val="24"/>
                <w:szCs w:val="24"/>
              </w:rPr>
              <w:t xml:space="preserve">» </w:t>
            </w:r>
            <w:r w:rsidR="00C81683" w:rsidRPr="00096DA3">
              <w:rPr>
                <w:rFonts w:ascii="TimesET" w:hAnsi="TimesET"/>
                <w:sz w:val="24"/>
                <w:szCs w:val="24"/>
              </w:rPr>
              <w:t>ноября</w:t>
            </w:r>
            <w:r w:rsidR="00BE3EEC" w:rsidRPr="00096DA3">
              <w:rPr>
                <w:rFonts w:ascii="TimesET" w:hAnsi="TimesET"/>
                <w:sz w:val="24"/>
                <w:szCs w:val="24"/>
              </w:rPr>
              <w:t xml:space="preserve"> 2020 г. №</w:t>
            </w:r>
            <w:r w:rsidR="00C4426F">
              <w:rPr>
                <w:rFonts w:ascii="TimesET" w:hAnsi="TimesET"/>
                <w:sz w:val="24"/>
                <w:szCs w:val="24"/>
              </w:rPr>
              <w:t xml:space="preserve"> 676</w:t>
            </w:r>
          </w:p>
          <w:p w:rsidR="00C81683" w:rsidRDefault="00C81683" w:rsidP="00C81683">
            <w:pPr>
              <w:jc w:val="center"/>
              <w:rPr>
                <w:sz w:val="26"/>
              </w:rPr>
            </w:pPr>
          </w:p>
          <w:p w:rsidR="00BE3EEC" w:rsidRPr="00096DA3" w:rsidRDefault="00BE3EEC" w:rsidP="00C81683">
            <w:pPr>
              <w:jc w:val="center"/>
              <w:rPr>
                <w:sz w:val="24"/>
                <w:szCs w:val="24"/>
              </w:rPr>
            </w:pPr>
            <w:r w:rsidRPr="00096DA3">
              <w:rPr>
                <w:sz w:val="24"/>
                <w:szCs w:val="24"/>
              </w:rPr>
              <w:t>г. Алатырь</w:t>
            </w:r>
          </w:p>
        </w:tc>
      </w:tr>
    </w:tbl>
    <w:p w:rsidR="00BE3EEC" w:rsidRDefault="00BE3EEC" w:rsidP="00BE3EEC">
      <w:pPr>
        <w:jc w:val="center"/>
        <w:rPr>
          <w:sz w:val="26"/>
        </w:rPr>
      </w:pPr>
    </w:p>
    <w:p w:rsidR="00C81683" w:rsidRPr="00C81683" w:rsidRDefault="00C81683" w:rsidP="00C81683">
      <w:pPr>
        <w:ind w:right="4394"/>
        <w:rPr>
          <w:b/>
          <w:sz w:val="24"/>
          <w:szCs w:val="24"/>
        </w:rPr>
      </w:pPr>
      <w:r w:rsidRPr="00C81683">
        <w:rPr>
          <w:b/>
          <w:bCs/>
          <w:sz w:val="24"/>
          <w:szCs w:val="24"/>
        </w:rPr>
        <w:t>«</w:t>
      </w:r>
      <w:r w:rsidRPr="00C81683">
        <w:rPr>
          <w:b/>
          <w:sz w:val="24"/>
          <w:szCs w:val="24"/>
        </w:rPr>
        <w:t xml:space="preserve">Об утверждении Порядка выплаты возмещения в случае неисполнения заказчиком целевого обучения, </w:t>
      </w:r>
      <w:r w:rsidRPr="00C81683">
        <w:rPr>
          <w:b/>
          <w:sz w:val="24"/>
          <w:szCs w:val="24"/>
        </w:rPr>
        <w:br/>
        <w:t xml:space="preserve">являющимся организацией, осуществляющей образовательную деятельность обязательства по трудоустройству гражданина, принятого на целевое обучение за счет средств </w:t>
      </w:r>
      <w:r w:rsidRPr="00C81683">
        <w:rPr>
          <w:b/>
          <w:sz w:val="24"/>
          <w:szCs w:val="24"/>
        </w:rPr>
        <w:br/>
        <w:t>бюджета города Алатыря</w:t>
      </w:r>
      <w:r w:rsidRPr="00C81683">
        <w:rPr>
          <w:b/>
          <w:bCs/>
          <w:sz w:val="24"/>
          <w:szCs w:val="24"/>
        </w:rPr>
        <w:t>»</w:t>
      </w:r>
    </w:p>
    <w:p w:rsidR="00096DA3" w:rsidRDefault="00096DA3" w:rsidP="00C81683">
      <w:pPr>
        <w:jc w:val="both"/>
        <w:rPr>
          <w:color w:val="000000"/>
          <w:sz w:val="24"/>
          <w:szCs w:val="24"/>
        </w:rPr>
      </w:pPr>
    </w:p>
    <w:p w:rsidR="00096DA3" w:rsidRDefault="00096DA3" w:rsidP="00C81683">
      <w:pPr>
        <w:jc w:val="both"/>
        <w:rPr>
          <w:color w:val="000000"/>
          <w:sz w:val="24"/>
          <w:szCs w:val="24"/>
        </w:rPr>
      </w:pPr>
    </w:p>
    <w:p w:rsidR="00096DA3" w:rsidRDefault="00096DA3" w:rsidP="00C81683">
      <w:pPr>
        <w:jc w:val="both"/>
        <w:rPr>
          <w:color w:val="000000"/>
          <w:sz w:val="24"/>
          <w:szCs w:val="24"/>
        </w:rPr>
      </w:pPr>
    </w:p>
    <w:p w:rsidR="00C81683" w:rsidRPr="00C81683" w:rsidRDefault="00C81683" w:rsidP="00096DA3">
      <w:pPr>
        <w:ind w:firstLine="708"/>
        <w:jc w:val="both"/>
        <w:rPr>
          <w:sz w:val="24"/>
          <w:szCs w:val="24"/>
        </w:rPr>
      </w:pPr>
      <w:r w:rsidRPr="00C81683">
        <w:rPr>
          <w:sz w:val="24"/>
          <w:szCs w:val="24"/>
        </w:rPr>
        <w:t>В соответствии с частью 7 ст. 71.1 Федерального закона «Об образовании в Российской Федерации» от 29.12.2012 № 273-ФЗ, администрация города Алатыря Чувашской Республики</w:t>
      </w:r>
    </w:p>
    <w:p w:rsidR="00C81683" w:rsidRPr="00C81683" w:rsidRDefault="00C81683" w:rsidP="00C81683">
      <w:pPr>
        <w:jc w:val="center"/>
        <w:rPr>
          <w:b/>
          <w:sz w:val="24"/>
          <w:szCs w:val="24"/>
        </w:rPr>
      </w:pPr>
      <w:proofErr w:type="gramStart"/>
      <w:r w:rsidRPr="00C81683">
        <w:rPr>
          <w:b/>
          <w:color w:val="000000"/>
          <w:sz w:val="24"/>
          <w:szCs w:val="24"/>
        </w:rPr>
        <w:t>п</w:t>
      </w:r>
      <w:proofErr w:type="gramEnd"/>
      <w:r w:rsidRPr="00C81683">
        <w:rPr>
          <w:b/>
          <w:sz w:val="24"/>
          <w:szCs w:val="24"/>
        </w:rPr>
        <w:t xml:space="preserve"> о с т а н о в л я е т :</w:t>
      </w:r>
    </w:p>
    <w:p w:rsidR="00C81683" w:rsidRPr="00C81683" w:rsidRDefault="00C81683" w:rsidP="00C81683">
      <w:pPr>
        <w:jc w:val="center"/>
        <w:rPr>
          <w:b/>
          <w:sz w:val="24"/>
          <w:szCs w:val="24"/>
        </w:rPr>
      </w:pPr>
    </w:p>
    <w:p w:rsidR="00C81683" w:rsidRPr="00C81683" w:rsidRDefault="00C81683" w:rsidP="00C81683">
      <w:pPr>
        <w:ind w:firstLine="708"/>
        <w:jc w:val="both"/>
        <w:rPr>
          <w:sz w:val="24"/>
          <w:szCs w:val="24"/>
        </w:rPr>
      </w:pPr>
      <w:r w:rsidRPr="00C81683">
        <w:rPr>
          <w:sz w:val="24"/>
          <w:szCs w:val="24"/>
        </w:rPr>
        <w:t>1. Утвердить прилагаемый Порядок выплаты возмещения в случае неисполнения заказчиком целевого обучения, являющимся организацией, осуществляющей образовательную деятельность обязательства по трудоустройству гражданина, принятого на целевое обучение за счет средств бюджета города Алатыря (далее – Порядок).</w:t>
      </w:r>
    </w:p>
    <w:p w:rsidR="00C81683" w:rsidRPr="00C81683" w:rsidRDefault="00C81683" w:rsidP="00C81683">
      <w:pPr>
        <w:ind w:firstLine="708"/>
        <w:jc w:val="both"/>
        <w:rPr>
          <w:sz w:val="24"/>
          <w:szCs w:val="24"/>
        </w:rPr>
      </w:pPr>
      <w:r w:rsidRPr="00C81683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Pr="00C81683">
        <w:rPr>
          <w:sz w:val="24"/>
          <w:szCs w:val="24"/>
        </w:rPr>
        <w:t>Отделу</w:t>
      </w:r>
      <w:r w:rsidRPr="00C81683">
        <w:rPr>
          <w:spacing w:val="-19"/>
          <w:sz w:val="24"/>
          <w:szCs w:val="24"/>
        </w:rPr>
        <w:t xml:space="preserve"> </w:t>
      </w:r>
      <w:r w:rsidRPr="00C81683">
        <w:rPr>
          <w:sz w:val="24"/>
          <w:szCs w:val="24"/>
        </w:rPr>
        <w:t>информационного</w:t>
      </w:r>
      <w:r w:rsidRPr="00C81683">
        <w:rPr>
          <w:spacing w:val="-11"/>
          <w:sz w:val="24"/>
          <w:szCs w:val="24"/>
        </w:rPr>
        <w:t xml:space="preserve"> </w:t>
      </w:r>
      <w:r w:rsidRPr="00C81683">
        <w:rPr>
          <w:sz w:val="24"/>
          <w:szCs w:val="24"/>
        </w:rPr>
        <w:t>обеспечения</w:t>
      </w:r>
      <w:r w:rsidRPr="00C81683">
        <w:rPr>
          <w:spacing w:val="-10"/>
          <w:sz w:val="24"/>
          <w:szCs w:val="24"/>
        </w:rPr>
        <w:t xml:space="preserve"> </w:t>
      </w:r>
      <w:r w:rsidRPr="00C81683">
        <w:rPr>
          <w:sz w:val="24"/>
          <w:szCs w:val="24"/>
        </w:rPr>
        <w:t>и</w:t>
      </w:r>
      <w:r w:rsidRPr="00C81683">
        <w:rPr>
          <w:spacing w:val="-14"/>
          <w:sz w:val="24"/>
          <w:szCs w:val="24"/>
        </w:rPr>
        <w:t xml:space="preserve"> </w:t>
      </w:r>
      <w:r w:rsidRPr="00C81683">
        <w:rPr>
          <w:sz w:val="24"/>
          <w:szCs w:val="24"/>
        </w:rPr>
        <w:t>взаимодействия</w:t>
      </w:r>
      <w:r w:rsidRPr="00C81683">
        <w:rPr>
          <w:spacing w:val="-11"/>
          <w:sz w:val="24"/>
          <w:szCs w:val="24"/>
        </w:rPr>
        <w:t xml:space="preserve"> </w:t>
      </w:r>
      <w:r w:rsidRPr="00C81683">
        <w:rPr>
          <w:spacing w:val="-3"/>
          <w:sz w:val="24"/>
          <w:szCs w:val="24"/>
        </w:rPr>
        <w:t>со</w:t>
      </w:r>
      <w:r w:rsidRPr="00C81683">
        <w:rPr>
          <w:spacing w:val="-5"/>
          <w:sz w:val="24"/>
          <w:szCs w:val="24"/>
        </w:rPr>
        <w:t xml:space="preserve"> </w:t>
      </w:r>
      <w:r w:rsidRPr="00C81683">
        <w:rPr>
          <w:sz w:val="24"/>
          <w:szCs w:val="24"/>
        </w:rPr>
        <w:t>СМИ управления организационно-контрольной и кадровой работы</w:t>
      </w:r>
      <w:r w:rsidRPr="00C81683">
        <w:rPr>
          <w:spacing w:val="-11"/>
          <w:sz w:val="24"/>
          <w:szCs w:val="24"/>
        </w:rPr>
        <w:t xml:space="preserve"> </w:t>
      </w:r>
      <w:r w:rsidRPr="00C81683">
        <w:rPr>
          <w:sz w:val="24"/>
          <w:szCs w:val="24"/>
        </w:rPr>
        <w:t xml:space="preserve">администрации города Алатыря Чувашской Республики (Каляканова Т.Н.) </w:t>
      </w:r>
      <w:proofErr w:type="gramStart"/>
      <w:r w:rsidRPr="00C81683">
        <w:rPr>
          <w:sz w:val="24"/>
          <w:szCs w:val="24"/>
        </w:rPr>
        <w:t>разместить</w:t>
      </w:r>
      <w:proofErr w:type="gramEnd"/>
      <w:r w:rsidRPr="00C81683">
        <w:rPr>
          <w:sz w:val="24"/>
          <w:szCs w:val="24"/>
        </w:rPr>
        <w:t xml:space="preserve"> настоящее постановление на официальном сайте администрации города Алатыря Чувашской Республики и опубликовать в периодическом печатном издании «Бюллетень города Алатыря Чувашской</w:t>
      </w:r>
      <w:r w:rsidRPr="00C81683">
        <w:rPr>
          <w:spacing w:val="-5"/>
          <w:sz w:val="24"/>
          <w:szCs w:val="24"/>
        </w:rPr>
        <w:t xml:space="preserve"> </w:t>
      </w:r>
      <w:r w:rsidRPr="00C81683">
        <w:rPr>
          <w:sz w:val="24"/>
          <w:szCs w:val="24"/>
        </w:rPr>
        <w:t>Республики».</w:t>
      </w:r>
    </w:p>
    <w:p w:rsidR="00C81683" w:rsidRPr="00C81683" w:rsidRDefault="00C81683" w:rsidP="00C81683">
      <w:pPr>
        <w:pStyle w:val="a5"/>
        <w:tabs>
          <w:tab w:val="left" w:pos="709"/>
          <w:tab w:val="left" w:pos="9498"/>
        </w:tabs>
        <w:ind w:left="0" w:right="-2" w:firstLine="127"/>
        <w:rPr>
          <w:sz w:val="24"/>
          <w:szCs w:val="24"/>
        </w:rPr>
      </w:pPr>
      <w:r w:rsidRPr="00C81683">
        <w:rPr>
          <w:sz w:val="24"/>
          <w:szCs w:val="24"/>
        </w:rPr>
        <w:t xml:space="preserve">          3. Настоящее постановление вступает в силу со дня</w:t>
      </w:r>
      <w:r w:rsidRPr="00C81683">
        <w:rPr>
          <w:spacing w:val="-12"/>
          <w:sz w:val="24"/>
          <w:szCs w:val="24"/>
        </w:rPr>
        <w:t xml:space="preserve"> </w:t>
      </w:r>
      <w:r w:rsidRPr="00C81683">
        <w:rPr>
          <w:sz w:val="24"/>
          <w:szCs w:val="24"/>
        </w:rPr>
        <w:t>опубликования.</w:t>
      </w:r>
    </w:p>
    <w:p w:rsidR="00C81683" w:rsidRPr="00C81683" w:rsidRDefault="00C81683" w:rsidP="00C81683">
      <w:pPr>
        <w:tabs>
          <w:tab w:val="left" w:pos="2618"/>
        </w:tabs>
        <w:rPr>
          <w:sz w:val="24"/>
          <w:szCs w:val="24"/>
        </w:rPr>
      </w:pPr>
    </w:p>
    <w:p w:rsidR="00C81683" w:rsidRPr="00C81683" w:rsidRDefault="00C81683" w:rsidP="00C81683">
      <w:pPr>
        <w:pStyle w:val="a3"/>
        <w:rPr>
          <w:sz w:val="24"/>
          <w:szCs w:val="24"/>
        </w:rPr>
      </w:pPr>
    </w:p>
    <w:p w:rsidR="00096DA3" w:rsidRDefault="00096DA3" w:rsidP="00C81683">
      <w:pPr>
        <w:pStyle w:val="210"/>
        <w:ind w:firstLine="0"/>
        <w:outlineLvl w:val="0"/>
        <w:rPr>
          <w:sz w:val="24"/>
        </w:rPr>
      </w:pPr>
      <w:bookmarkStart w:id="1" w:name="sub_4"/>
      <w:bookmarkEnd w:id="1"/>
    </w:p>
    <w:p w:rsidR="00C81683" w:rsidRPr="00C81683" w:rsidRDefault="00C81683" w:rsidP="00C81683">
      <w:pPr>
        <w:pStyle w:val="210"/>
        <w:ind w:firstLine="0"/>
        <w:outlineLvl w:val="0"/>
        <w:rPr>
          <w:sz w:val="24"/>
        </w:rPr>
      </w:pPr>
      <w:r w:rsidRPr="00C81683">
        <w:rPr>
          <w:sz w:val="24"/>
        </w:rPr>
        <w:t xml:space="preserve">Глава администрации </w:t>
      </w:r>
    </w:p>
    <w:p w:rsidR="00C81683" w:rsidRPr="00C81683" w:rsidRDefault="00C81683" w:rsidP="00C81683">
      <w:pPr>
        <w:pStyle w:val="210"/>
        <w:ind w:firstLine="0"/>
        <w:rPr>
          <w:sz w:val="24"/>
        </w:rPr>
      </w:pPr>
      <w:r w:rsidRPr="00C81683">
        <w:rPr>
          <w:sz w:val="24"/>
        </w:rPr>
        <w:t xml:space="preserve">города Алатыря                                                                                          </w:t>
      </w:r>
      <w:r w:rsidRPr="00C81683">
        <w:rPr>
          <w:sz w:val="24"/>
        </w:rPr>
        <w:tab/>
      </w:r>
      <w:r w:rsidRPr="00C81683">
        <w:rPr>
          <w:sz w:val="24"/>
        </w:rPr>
        <w:tab/>
        <w:t xml:space="preserve">С.А. </w:t>
      </w:r>
      <w:proofErr w:type="spellStart"/>
      <w:r w:rsidRPr="00C81683">
        <w:rPr>
          <w:sz w:val="24"/>
        </w:rPr>
        <w:t>Лукишин</w:t>
      </w:r>
      <w:proofErr w:type="spellEnd"/>
      <w:r w:rsidRPr="00C81683">
        <w:rPr>
          <w:sz w:val="24"/>
        </w:rPr>
        <w:t xml:space="preserve"> </w:t>
      </w:r>
    </w:p>
    <w:p w:rsidR="00C81683" w:rsidRPr="00C81683" w:rsidRDefault="00C81683" w:rsidP="00C81683">
      <w:pPr>
        <w:pStyle w:val="210"/>
        <w:ind w:firstLine="0"/>
        <w:rPr>
          <w:sz w:val="24"/>
        </w:rPr>
      </w:pPr>
    </w:p>
    <w:p w:rsidR="00C81683" w:rsidRPr="00C81683" w:rsidRDefault="00C81683" w:rsidP="00C81683">
      <w:pPr>
        <w:pStyle w:val="210"/>
        <w:ind w:firstLine="0"/>
        <w:rPr>
          <w:sz w:val="24"/>
        </w:rPr>
      </w:pPr>
    </w:p>
    <w:p w:rsidR="00C81683" w:rsidRDefault="00C81683" w:rsidP="00C81683">
      <w:pPr>
        <w:pStyle w:val="210"/>
        <w:ind w:firstLine="0"/>
        <w:rPr>
          <w:sz w:val="20"/>
          <w:szCs w:val="20"/>
        </w:rPr>
      </w:pPr>
    </w:p>
    <w:p w:rsidR="00C81683" w:rsidRDefault="00C81683" w:rsidP="00C81683">
      <w:pPr>
        <w:pStyle w:val="210"/>
        <w:ind w:firstLine="0"/>
        <w:rPr>
          <w:sz w:val="20"/>
          <w:szCs w:val="20"/>
        </w:rPr>
      </w:pPr>
    </w:p>
    <w:p w:rsidR="00E526B6" w:rsidRDefault="00E526B6" w:rsidP="00AB5790"/>
    <w:p w:rsidR="00E526B6" w:rsidRDefault="00E526B6" w:rsidP="00AB5790"/>
    <w:p w:rsidR="00E526B6" w:rsidRDefault="00E526B6" w:rsidP="00AB5790"/>
    <w:p w:rsidR="00E526B6" w:rsidRDefault="00E526B6" w:rsidP="00AB5790"/>
    <w:p w:rsidR="00E526B6" w:rsidRPr="00C81683" w:rsidRDefault="00E526B6" w:rsidP="00AB5790">
      <w:pPr>
        <w:rPr>
          <w:sz w:val="20"/>
          <w:szCs w:val="20"/>
        </w:rPr>
      </w:pPr>
      <w:r w:rsidRPr="00C81683">
        <w:rPr>
          <w:sz w:val="20"/>
          <w:szCs w:val="20"/>
        </w:rPr>
        <w:t>Исп. Ермолаева Е.А.</w:t>
      </w:r>
    </w:p>
    <w:p w:rsidR="00E526B6" w:rsidRPr="00C81683" w:rsidRDefault="00096DA3" w:rsidP="00AB5790">
      <w:pPr>
        <w:rPr>
          <w:sz w:val="20"/>
          <w:szCs w:val="20"/>
        </w:rPr>
        <w:sectPr w:rsidR="00E526B6" w:rsidRPr="00C81683" w:rsidSect="00B502AF">
          <w:pgSz w:w="11900" w:h="16840"/>
          <w:pgMar w:top="1060" w:right="720" w:bottom="851" w:left="1480" w:header="720" w:footer="720" w:gutter="0"/>
          <w:cols w:space="720"/>
        </w:sectPr>
      </w:pPr>
      <w:r>
        <w:rPr>
          <w:sz w:val="20"/>
          <w:szCs w:val="20"/>
        </w:rPr>
        <w:t>(883531)</w:t>
      </w:r>
      <w:r w:rsidR="00E526B6" w:rsidRPr="00C81683">
        <w:rPr>
          <w:sz w:val="20"/>
          <w:szCs w:val="20"/>
        </w:rPr>
        <w:t>2-02-25</w:t>
      </w:r>
    </w:p>
    <w:p w:rsidR="00C81683" w:rsidRPr="00096DA3" w:rsidRDefault="00C81683" w:rsidP="00A2227A">
      <w:pPr>
        <w:pStyle w:val="21"/>
        <w:spacing w:before="72"/>
        <w:ind w:left="0"/>
        <w:jc w:val="left"/>
        <w:rPr>
          <w:sz w:val="22"/>
          <w:szCs w:val="22"/>
        </w:rPr>
      </w:pPr>
    </w:p>
    <w:p w:rsidR="00C81683" w:rsidRPr="00A2227A" w:rsidRDefault="00C81683" w:rsidP="00C81683">
      <w:pPr>
        <w:jc w:val="center"/>
        <w:rPr>
          <w:b/>
        </w:rPr>
      </w:pPr>
      <w:r w:rsidRPr="00A2227A">
        <w:rPr>
          <w:b/>
        </w:rPr>
        <w:t>Порядок выплаты возмещения в случае неисполнения заказчиком целевого обучения, являющимся организацией, осуществляющей образовательную деятельность обязательства по трудоустройству гражданина, принятого на целевое обучение за счет средств бюджета города Алатыря</w:t>
      </w:r>
    </w:p>
    <w:p w:rsidR="00C81683" w:rsidRPr="00A2227A" w:rsidRDefault="00C81683" w:rsidP="00C81683">
      <w:pPr>
        <w:jc w:val="center"/>
      </w:pPr>
    </w:p>
    <w:p w:rsidR="00C81683" w:rsidRPr="00A2227A" w:rsidRDefault="00C81683" w:rsidP="00C81683">
      <w:pPr>
        <w:ind w:firstLine="709"/>
        <w:jc w:val="both"/>
      </w:pPr>
      <w:r w:rsidRPr="00A2227A">
        <w:t xml:space="preserve">1. Настоящий Порядок утвержден в соответствии с требованиями федерального законодательства об образовании в Российской Федерации и устанавливает правила возмещения </w:t>
      </w:r>
      <w:proofErr w:type="gramStart"/>
      <w:r w:rsidRPr="00A2227A">
        <w:t>расходов бюджета города Алатыря Чувашской Республики</w:t>
      </w:r>
      <w:proofErr w:type="gramEnd"/>
      <w:r w:rsidRPr="00A2227A">
        <w:t xml:space="preserve"> при неисполнении организацией, осуществляющей образовательную деятельность и являющейся заказчиком целевого обучения обязательства по трудоустройству гражданина, принятого на целевое обучение за счет средств бюджета города Алатыря.</w:t>
      </w:r>
    </w:p>
    <w:p w:rsidR="00C81683" w:rsidRPr="00A2227A" w:rsidRDefault="00C81683" w:rsidP="00C81683">
      <w:pPr>
        <w:ind w:firstLine="709"/>
        <w:jc w:val="both"/>
      </w:pPr>
    </w:p>
    <w:p w:rsidR="00C81683" w:rsidRPr="00A2227A" w:rsidRDefault="00C81683" w:rsidP="00C81683">
      <w:pPr>
        <w:ind w:firstLine="709"/>
        <w:jc w:val="both"/>
      </w:pPr>
      <w:r w:rsidRPr="00A2227A">
        <w:t xml:space="preserve">2. Настоящий Порядок определяет размер расходов, подлежащих возмещению в бюджет города Алатыря при неисполнении заказчиком обязательства по трудоустройству гражданина, сроки для возмещения таких расходов и основания для освобождения от возмещения расходов. </w:t>
      </w:r>
    </w:p>
    <w:p w:rsidR="00C81683" w:rsidRPr="00A2227A" w:rsidRDefault="00C81683" w:rsidP="00C81683">
      <w:pPr>
        <w:ind w:firstLine="709"/>
        <w:jc w:val="both"/>
      </w:pPr>
    </w:p>
    <w:p w:rsidR="00C81683" w:rsidRPr="00A2227A" w:rsidRDefault="00C81683" w:rsidP="00C81683">
      <w:pPr>
        <w:ind w:firstLine="709"/>
        <w:jc w:val="both"/>
      </w:pPr>
      <w:r w:rsidRPr="00A2227A">
        <w:t>3. При неисполнении заказчиком обязательства по трудоустройству гражданина, заказчик возмещает в бюджет города Алатыря Чувашской Республики расходы, осуществленные на обучение гражданина образовательным программам в соответствии с договором о целевом обучении.</w:t>
      </w:r>
    </w:p>
    <w:p w:rsidR="00C81683" w:rsidRPr="00A2227A" w:rsidRDefault="00C81683" w:rsidP="00C81683">
      <w:pPr>
        <w:ind w:firstLine="709"/>
        <w:jc w:val="both"/>
      </w:pPr>
    </w:p>
    <w:p w:rsidR="00C81683" w:rsidRPr="00A2227A" w:rsidRDefault="00C81683" w:rsidP="00C81683">
      <w:pPr>
        <w:ind w:firstLine="709"/>
        <w:jc w:val="both"/>
      </w:pPr>
      <w:r w:rsidRPr="00A2227A">
        <w:t>При выявлении неисполнения заказчиком обязательства по трудоустройству гражданина, получатель возмещения в месячный срок надлежащим образом направляет заказчику уведомление с требованием о возмещении расходов.</w:t>
      </w:r>
    </w:p>
    <w:p w:rsidR="00C81683" w:rsidRPr="00A2227A" w:rsidRDefault="00C81683" w:rsidP="00C81683">
      <w:pPr>
        <w:ind w:firstLine="709"/>
        <w:jc w:val="both"/>
      </w:pPr>
    </w:p>
    <w:p w:rsidR="00C81683" w:rsidRPr="00A2227A" w:rsidRDefault="00C81683" w:rsidP="00C81683">
      <w:pPr>
        <w:ind w:firstLine="709"/>
        <w:jc w:val="both"/>
      </w:pPr>
      <w:r w:rsidRPr="00A2227A">
        <w:t>Уведомление должно содержать требование о возмещении расходов, реквизиты получателя возмещения.</w:t>
      </w:r>
    </w:p>
    <w:p w:rsidR="00C81683" w:rsidRPr="00A2227A" w:rsidRDefault="00C81683" w:rsidP="00C81683">
      <w:pPr>
        <w:ind w:firstLine="709"/>
        <w:jc w:val="both"/>
      </w:pPr>
    </w:p>
    <w:p w:rsidR="00C81683" w:rsidRPr="00A2227A" w:rsidRDefault="00C81683" w:rsidP="00C81683">
      <w:pPr>
        <w:ind w:firstLine="709"/>
        <w:jc w:val="both"/>
      </w:pPr>
      <w:r w:rsidRPr="00A2227A">
        <w:t xml:space="preserve">4. Заказчик не позднее 12 месяцев со дня получения уведомления, возмещает указанные расходы посредством перечисления денежных средств на лицевой счет в территориальном органе Федерального казначейства, финансовом органе администрации города Алатыря (счет в кредитной организации в случаях, установленных федеральными законами), реквизиты которого указаны в требовании о выплате возмещения. </w:t>
      </w:r>
    </w:p>
    <w:p w:rsidR="00C81683" w:rsidRPr="00A2227A" w:rsidRDefault="00C81683" w:rsidP="00C81683">
      <w:pPr>
        <w:ind w:firstLine="709"/>
        <w:jc w:val="both"/>
      </w:pPr>
    </w:p>
    <w:p w:rsidR="00C81683" w:rsidRPr="00A2227A" w:rsidRDefault="00C81683" w:rsidP="00C81683">
      <w:pPr>
        <w:ind w:firstLine="709"/>
        <w:jc w:val="both"/>
      </w:pPr>
      <w:r w:rsidRPr="00A2227A">
        <w:t xml:space="preserve">5. Получатель возмещения направляет средства, полученные от выплаты возмещения, на финансовое обеспечение образовательной деятельности по образовательным программам. Направления расходования (использования) указанных средств определяются получателем возмещения самостоятельно. </w:t>
      </w:r>
    </w:p>
    <w:p w:rsidR="00C81683" w:rsidRPr="00A2227A" w:rsidRDefault="00C81683" w:rsidP="00C81683">
      <w:pPr>
        <w:ind w:firstLine="709"/>
        <w:jc w:val="both"/>
      </w:pPr>
    </w:p>
    <w:p w:rsidR="00C81683" w:rsidRPr="00A2227A" w:rsidRDefault="00C81683" w:rsidP="00C81683">
      <w:pPr>
        <w:ind w:firstLine="709"/>
        <w:jc w:val="both"/>
      </w:pPr>
      <w:r w:rsidRPr="00A2227A">
        <w:t>6. Объем возмещения по настоящему Порядку соразмерен объему понесенных расходов бюджета города Алатыря Чувашской Республики, реализованных на целевое обучение гражданина.</w:t>
      </w:r>
    </w:p>
    <w:p w:rsidR="00C81683" w:rsidRPr="00A2227A" w:rsidRDefault="00C81683" w:rsidP="00C81683">
      <w:pPr>
        <w:ind w:firstLine="709"/>
        <w:jc w:val="both"/>
      </w:pPr>
    </w:p>
    <w:p w:rsidR="00C81683" w:rsidRPr="00A2227A" w:rsidRDefault="00C81683" w:rsidP="00C81683">
      <w:pPr>
        <w:ind w:firstLine="709"/>
        <w:jc w:val="both"/>
      </w:pPr>
      <w:r w:rsidRPr="00A2227A">
        <w:t>7. Заказчик освобождается от возмещения расходов, если он освобожден от ответственности за неисполнение обязательств по договору о целевом обучении.</w:t>
      </w:r>
    </w:p>
    <w:p w:rsidR="00C81683" w:rsidRPr="00A2227A" w:rsidRDefault="00C81683" w:rsidP="00C81683">
      <w:pPr>
        <w:ind w:firstLine="709"/>
        <w:jc w:val="both"/>
      </w:pPr>
    </w:p>
    <w:p w:rsidR="00C81683" w:rsidRPr="00A2227A" w:rsidRDefault="00C81683" w:rsidP="00C81683">
      <w:pPr>
        <w:ind w:firstLine="709"/>
        <w:jc w:val="both"/>
      </w:pPr>
      <w:r w:rsidRPr="00A2227A">
        <w:t>При наличии основания, указанного в настоящем пункте, заказчик получивший уведомление с требованием о возмещении расходов, направляет получателю расходов уведомление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C81683" w:rsidRPr="00A2227A" w:rsidRDefault="00C81683" w:rsidP="00C81683">
      <w:pPr>
        <w:ind w:firstLine="709"/>
        <w:jc w:val="both"/>
      </w:pPr>
    </w:p>
    <w:p w:rsidR="00C81683" w:rsidRPr="00A2227A" w:rsidRDefault="00C81683" w:rsidP="00C81683">
      <w:pPr>
        <w:ind w:firstLine="709"/>
        <w:jc w:val="both"/>
      </w:pPr>
      <w:r w:rsidRPr="00A2227A">
        <w:t>8. В случае невыплаты возмещения расходов бюджета заказчиком в установленный срок (при отсутствии основания, указанного в пункте 7 настоящего Порядка) получатель возмещения осуществляет взыскание возмещения в судебном порядке.</w:t>
      </w:r>
    </w:p>
    <w:p w:rsidR="00C81683" w:rsidRPr="00A2227A" w:rsidRDefault="00C81683" w:rsidP="00C81683">
      <w:pPr>
        <w:pStyle w:val="a3"/>
        <w:ind w:right="451"/>
        <w:jc w:val="right"/>
        <w:rPr>
          <w:color w:val="282828"/>
          <w:sz w:val="22"/>
          <w:szCs w:val="22"/>
        </w:rPr>
      </w:pPr>
    </w:p>
    <w:p w:rsidR="00295B46" w:rsidRPr="00A2227A" w:rsidRDefault="00295B46" w:rsidP="00C81683">
      <w:pPr>
        <w:pStyle w:val="21"/>
        <w:spacing w:before="72"/>
        <w:ind w:left="0"/>
        <w:rPr>
          <w:sz w:val="22"/>
          <w:szCs w:val="22"/>
        </w:rPr>
      </w:pPr>
    </w:p>
    <w:sectPr w:rsidR="00295B46" w:rsidRPr="00A2227A" w:rsidSect="006B7011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1B" w:rsidRDefault="00F3341B" w:rsidP="00295B46">
      <w:r>
        <w:separator/>
      </w:r>
    </w:p>
  </w:endnote>
  <w:endnote w:type="continuationSeparator" w:id="0">
    <w:p w:rsidR="00F3341B" w:rsidRDefault="00F3341B" w:rsidP="0029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1B" w:rsidRDefault="00F3341B" w:rsidP="00295B46">
      <w:r>
        <w:separator/>
      </w:r>
    </w:p>
  </w:footnote>
  <w:footnote w:type="continuationSeparator" w:id="0">
    <w:p w:rsidR="00F3341B" w:rsidRDefault="00F3341B" w:rsidP="0029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3205"/>
    <w:multiLevelType w:val="hybridMultilevel"/>
    <w:tmpl w:val="3CE8235C"/>
    <w:lvl w:ilvl="0" w:tplc="DD06DC4C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41CA02C">
      <w:numFmt w:val="bullet"/>
      <w:lvlText w:val="•"/>
      <w:lvlJc w:val="left"/>
      <w:pPr>
        <w:ind w:left="1168" w:hanging="284"/>
      </w:pPr>
      <w:rPr>
        <w:rFonts w:hint="default"/>
        <w:lang w:val="ru-RU" w:eastAsia="ru-RU" w:bidi="ru-RU"/>
      </w:rPr>
    </w:lvl>
    <w:lvl w:ilvl="2" w:tplc="2110A584">
      <w:numFmt w:val="bullet"/>
      <w:lvlText w:val="•"/>
      <w:lvlJc w:val="left"/>
      <w:pPr>
        <w:ind w:left="2116" w:hanging="284"/>
      </w:pPr>
      <w:rPr>
        <w:rFonts w:hint="default"/>
        <w:lang w:val="ru-RU" w:eastAsia="ru-RU" w:bidi="ru-RU"/>
      </w:rPr>
    </w:lvl>
    <w:lvl w:ilvl="3" w:tplc="2584940C">
      <w:numFmt w:val="bullet"/>
      <w:lvlText w:val="•"/>
      <w:lvlJc w:val="left"/>
      <w:pPr>
        <w:ind w:left="3064" w:hanging="284"/>
      </w:pPr>
      <w:rPr>
        <w:rFonts w:hint="default"/>
        <w:lang w:val="ru-RU" w:eastAsia="ru-RU" w:bidi="ru-RU"/>
      </w:rPr>
    </w:lvl>
    <w:lvl w:ilvl="4" w:tplc="1C2C44A4">
      <w:numFmt w:val="bullet"/>
      <w:lvlText w:val="•"/>
      <w:lvlJc w:val="left"/>
      <w:pPr>
        <w:ind w:left="4012" w:hanging="284"/>
      </w:pPr>
      <w:rPr>
        <w:rFonts w:hint="default"/>
        <w:lang w:val="ru-RU" w:eastAsia="ru-RU" w:bidi="ru-RU"/>
      </w:rPr>
    </w:lvl>
    <w:lvl w:ilvl="5" w:tplc="CD8ABE82">
      <w:numFmt w:val="bullet"/>
      <w:lvlText w:val="•"/>
      <w:lvlJc w:val="left"/>
      <w:pPr>
        <w:ind w:left="4960" w:hanging="284"/>
      </w:pPr>
      <w:rPr>
        <w:rFonts w:hint="default"/>
        <w:lang w:val="ru-RU" w:eastAsia="ru-RU" w:bidi="ru-RU"/>
      </w:rPr>
    </w:lvl>
    <w:lvl w:ilvl="6" w:tplc="07EA100C">
      <w:numFmt w:val="bullet"/>
      <w:lvlText w:val="•"/>
      <w:lvlJc w:val="left"/>
      <w:pPr>
        <w:ind w:left="5908" w:hanging="284"/>
      </w:pPr>
      <w:rPr>
        <w:rFonts w:hint="default"/>
        <w:lang w:val="ru-RU" w:eastAsia="ru-RU" w:bidi="ru-RU"/>
      </w:rPr>
    </w:lvl>
    <w:lvl w:ilvl="7" w:tplc="D86E7014">
      <w:numFmt w:val="bullet"/>
      <w:lvlText w:val="•"/>
      <w:lvlJc w:val="left"/>
      <w:pPr>
        <w:ind w:left="6856" w:hanging="284"/>
      </w:pPr>
      <w:rPr>
        <w:rFonts w:hint="default"/>
        <w:lang w:val="ru-RU" w:eastAsia="ru-RU" w:bidi="ru-RU"/>
      </w:rPr>
    </w:lvl>
    <w:lvl w:ilvl="8" w:tplc="157E084A">
      <w:numFmt w:val="bullet"/>
      <w:lvlText w:val="•"/>
      <w:lvlJc w:val="left"/>
      <w:pPr>
        <w:ind w:left="7804" w:hanging="284"/>
      </w:pPr>
      <w:rPr>
        <w:rFonts w:hint="default"/>
        <w:lang w:val="ru-RU" w:eastAsia="ru-RU" w:bidi="ru-RU"/>
      </w:rPr>
    </w:lvl>
  </w:abstractNum>
  <w:abstractNum w:abstractNumId="1">
    <w:nsid w:val="4D0030D7"/>
    <w:multiLevelType w:val="hybridMultilevel"/>
    <w:tmpl w:val="3CE8235C"/>
    <w:lvl w:ilvl="0" w:tplc="DD06DC4C">
      <w:start w:val="1"/>
      <w:numFmt w:val="decimal"/>
      <w:lvlText w:val="%1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41CA02C">
      <w:numFmt w:val="bullet"/>
      <w:lvlText w:val="•"/>
      <w:lvlJc w:val="left"/>
      <w:pPr>
        <w:ind w:left="1168" w:hanging="284"/>
      </w:pPr>
      <w:rPr>
        <w:rFonts w:hint="default"/>
        <w:lang w:val="ru-RU" w:eastAsia="ru-RU" w:bidi="ru-RU"/>
      </w:rPr>
    </w:lvl>
    <w:lvl w:ilvl="2" w:tplc="2110A584">
      <w:numFmt w:val="bullet"/>
      <w:lvlText w:val="•"/>
      <w:lvlJc w:val="left"/>
      <w:pPr>
        <w:ind w:left="2116" w:hanging="284"/>
      </w:pPr>
      <w:rPr>
        <w:rFonts w:hint="default"/>
        <w:lang w:val="ru-RU" w:eastAsia="ru-RU" w:bidi="ru-RU"/>
      </w:rPr>
    </w:lvl>
    <w:lvl w:ilvl="3" w:tplc="2584940C">
      <w:numFmt w:val="bullet"/>
      <w:lvlText w:val="•"/>
      <w:lvlJc w:val="left"/>
      <w:pPr>
        <w:ind w:left="3064" w:hanging="284"/>
      </w:pPr>
      <w:rPr>
        <w:rFonts w:hint="default"/>
        <w:lang w:val="ru-RU" w:eastAsia="ru-RU" w:bidi="ru-RU"/>
      </w:rPr>
    </w:lvl>
    <w:lvl w:ilvl="4" w:tplc="1C2C44A4">
      <w:numFmt w:val="bullet"/>
      <w:lvlText w:val="•"/>
      <w:lvlJc w:val="left"/>
      <w:pPr>
        <w:ind w:left="4012" w:hanging="284"/>
      </w:pPr>
      <w:rPr>
        <w:rFonts w:hint="default"/>
        <w:lang w:val="ru-RU" w:eastAsia="ru-RU" w:bidi="ru-RU"/>
      </w:rPr>
    </w:lvl>
    <w:lvl w:ilvl="5" w:tplc="CD8ABE82">
      <w:numFmt w:val="bullet"/>
      <w:lvlText w:val="•"/>
      <w:lvlJc w:val="left"/>
      <w:pPr>
        <w:ind w:left="4960" w:hanging="284"/>
      </w:pPr>
      <w:rPr>
        <w:rFonts w:hint="default"/>
        <w:lang w:val="ru-RU" w:eastAsia="ru-RU" w:bidi="ru-RU"/>
      </w:rPr>
    </w:lvl>
    <w:lvl w:ilvl="6" w:tplc="07EA100C">
      <w:numFmt w:val="bullet"/>
      <w:lvlText w:val="•"/>
      <w:lvlJc w:val="left"/>
      <w:pPr>
        <w:ind w:left="5908" w:hanging="284"/>
      </w:pPr>
      <w:rPr>
        <w:rFonts w:hint="default"/>
        <w:lang w:val="ru-RU" w:eastAsia="ru-RU" w:bidi="ru-RU"/>
      </w:rPr>
    </w:lvl>
    <w:lvl w:ilvl="7" w:tplc="D86E7014">
      <w:numFmt w:val="bullet"/>
      <w:lvlText w:val="•"/>
      <w:lvlJc w:val="left"/>
      <w:pPr>
        <w:ind w:left="6856" w:hanging="284"/>
      </w:pPr>
      <w:rPr>
        <w:rFonts w:hint="default"/>
        <w:lang w:val="ru-RU" w:eastAsia="ru-RU" w:bidi="ru-RU"/>
      </w:rPr>
    </w:lvl>
    <w:lvl w:ilvl="8" w:tplc="157E084A">
      <w:numFmt w:val="bullet"/>
      <w:lvlText w:val="•"/>
      <w:lvlJc w:val="left"/>
      <w:pPr>
        <w:ind w:left="7804" w:hanging="284"/>
      </w:pPr>
      <w:rPr>
        <w:rFonts w:hint="default"/>
        <w:lang w:val="ru-RU" w:eastAsia="ru-RU" w:bidi="ru-RU"/>
      </w:rPr>
    </w:lvl>
  </w:abstractNum>
  <w:abstractNum w:abstractNumId="2">
    <w:nsid w:val="67283AF1"/>
    <w:multiLevelType w:val="hybridMultilevel"/>
    <w:tmpl w:val="A806A318"/>
    <w:lvl w:ilvl="0" w:tplc="47526A38">
      <w:start w:val="9"/>
      <w:numFmt w:val="decimal"/>
      <w:lvlText w:val="%1."/>
      <w:lvlJc w:val="left"/>
      <w:pPr>
        <w:ind w:left="140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282A51E">
      <w:numFmt w:val="none"/>
      <w:lvlText w:val=""/>
      <w:lvlJc w:val="left"/>
      <w:pPr>
        <w:tabs>
          <w:tab w:val="num" w:pos="360"/>
        </w:tabs>
      </w:pPr>
    </w:lvl>
    <w:lvl w:ilvl="2" w:tplc="0EDEB83A">
      <w:numFmt w:val="bullet"/>
      <w:lvlText w:val="•"/>
      <w:lvlJc w:val="left"/>
      <w:pPr>
        <w:ind w:left="2517" w:hanging="495"/>
      </w:pPr>
      <w:rPr>
        <w:rFonts w:hint="default"/>
        <w:lang w:val="ru-RU" w:eastAsia="ru-RU" w:bidi="ru-RU"/>
      </w:rPr>
    </w:lvl>
    <w:lvl w:ilvl="3" w:tplc="0742C4AC">
      <w:numFmt w:val="bullet"/>
      <w:lvlText w:val="•"/>
      <w:lvlJc w:val="left"/>
      <w:pPr>
        <w:ind w:left="3415" w:hanging="495"/>
      </w:pPr>
      <w:rPr>
        <w:rFonts w:hint="default"/>
        <w:lang w:val="ru-RU" w:eastAsia="ru-RU" w:bidi="ru-RU"/>
      </w:rPr>
    </w:lvl>
    <w:lvl w:ilvl="4" w:tplc="884A1BC4">
      <w:numFmt w:val="bullet"/>
      <w:lvlText w:val="•"/>
      <w:lvlJc w:val="left"/>
      <w:pPr>
        <w:ind w:left="4313" w:hanging="495"/>
      </w:pPr>
      <w:rPr>
        <w:rFonts w:hint="default"/>
        <w:lang w:val="ru-RU" w:eastAsia="ru-RU" w:bidi="ru-RU"/>
      </w:rPr>
    </w:lvl>
    <w:lvl w:ilvl="5" w:tplc="B31CBD92">
      <w:numFmt w:val="bullet"/>
      <w:lvlText w:val="•"/>
      <w:lvlJc w:val="left"/>
      <w:pPr>
        <w:ind w:left="5211" w:hanging="495"/>
      </w:pPr>
      <w:rPr>
        <w:rFonts w:hint="default"/>
        <w:lang w:val="ru-RU" w:eastAsia="ru-RU" w:bidi="ru-RU"/>
      </w:rPr>
    </w:lvl>
    <w:lvl w:ilvl="6" w:tplc="1F04469A">
      <w:numFmt w:val="bullet"/>
      <w:lvlText w:val="•"/>
      <w:lvlJc w:val="left"/>
      <w:pPr>
        <w:ind w:left="6108" w:hanging="495"/>
      </w:pPr>
      <w:rPr>
        <w:rFonts w:hint="default"/>
        <w:lang w:val="ru-RU" w:eastAsia="ru-RU" w:bidi="ru-RU"/>
      </w:rPr>
    </w:lvl>
    <w:lvl w:ilvl="7" w:tplc="147A01EC">
      <w:numFmt w:val="bullet"/>
      <w:lvlText w:val="•"/>
      <w:lvlJc w:val="left"/>
      <w:pPr>
        <w:ind w:left="7006" w:hanging="495"/>
      </w:pPr>
      <w:rPr>
        <w:rFonts w:hint="default"/>
        <w:lang w:val="ru-RU" w:eastAsia="ru-RU" w:bidi="ru-RU"/>
      </w:rPr>
    </w:lvl>
    <w:lvl w:ilvl="8" w:tplc="3878C230">
      <w:numFmt w:val="bullet"/>
      <w:lvlText w:val="•"/>
      <w:lvlJc w:val="left"/>
      <w:pPr>
        <w:ind w:left="7904" w:hanging="49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790"/>
    <w:rsid w:val="0000333E"/>
    <w:rsid w:val="00017723"/>
    <w:rsid w:val="00027D03"/>
    <w:rsid w:val="00045B6B"/>
    <w:rsid w:val="00072AB0"/>
    <w:rsid w:val="000818D6"/>
    <w:rsid w:val="00096DA3"/>
    <w:rsid w:val="000A1D66"/>
    <w:rsid w:val="001230AA"/>
    <w:rsid w:val="001802DE"/>
    <w:rsid w:val="001969C7"/>
    <w:rsid w:val="001A0F8A"/>
    <w:rsid w:val="001B75F0"/>
    <w:rsid w:val="001D5609"/>
    <w:rsid w:val="001E4455"/>
    <w:rsid w:val="001F48A1"/>
    <w:rsid w:val="00205842"/>
    <w:rsid w:val="00234921"/>
    <w:rsid w:val="00295B46"/>
    <w:rsid w:val="002E73D4"/>
    <w:rsid w:val="00387765"/>
    <w:rsid w:val="003D65C5"/>
    <w:rsid w:val="003F006B"/>
    <w:rsid w:val="003F5278"/>
    <w:rsid w:val="00400199"/>
    <w:rsid w:val="0044276A"/>
    <w:rsid w:val="004922DD"/>
    <w:rsid w:val="004A3E7E"/>
    <w:rsid w:val="004A69DF"/>
    <w:rsid w:val="004B102E"/>
    <w:rsid w:val="004C7930"/>
    <w:rsid w:val="004D784B"/>
    <w:rsid w:val="005144BE"/>
    <w:rsid w:val="0051581F"/>
    <w:rsid w:val="00556E4F"/>
    <w:rsid w:val="00597F0E"/>
    <w:rsid w:val="005B30A6"/>
    <w:rsid w:val="005C4996"/>
    <w:rsid w:val="005D506F"/>
    <w:rsid w:val="005E1107"/>
    <w:rsid w:val="00611474"/>
    <w:rsid w:val="00642797"/>
    <w:rsid w:val="006442A2"/>
    <w:rsid w:val="0065454D"/>
    <w:rsid w:val="006576F5"/>
    <w:rsid w:val="00682229"/>
    <w:rsid w:val="00687302"/>
    <w:rsid w:val="006B7011"/>
    <w:rsid w:val="006C0A66"/>
    <w:rsid w:val="006E4D71"/>
    <w:rsid w:val="00702A11"/>
    <w:rsid w:val="00704140"/>
    <w:rsid w:val="00706F7D"/>
    <w:rsid w:val="007237A5"/>
    <w:rsid w:val="007359DF"/>
    <w:rsid w:val="00752317"/>
    <w:rsid w:val="007A59F8"/>
    <w:rsid w:val="007C09BC"/>
    <w:rsid w:val="007C7B8F"/>
    <w:rsid w:val="007D3E99"/>
    <w:rsid w:val="007F165F"/>
    <w:rsid w:val="0082148C"/>
    <w:rsid w:val="00830BA6"/>
    <w:rsid w:val="00864C20"/>
    <w:rsid w:val="00874C58"/>
    <w:rsid w:val="0088366F"/>
    <w:rsid w:val="008A0672"/>
    <w:rsid w:val="008B702F"/>
    <w:rsid w:val="008B70C1"/>
    <w:rsid w:val="008C6228"/>
    <w:rsid w:val="008D6988"/>
    <w:rsid w:val="00900A26"/>
    <w:rsid w:val="009014B9"/>
    <w:rsid w:val="00911458"/>
    <w:rsid w:val="00911FEF"/>
    <w:rsid w:val="00936279"/>
    <w:rsid w:val="009B348F"/>
    <w:rsid w:val="009D5C1F"/>
    <w:rsid w:val="009D7999"/>
    <w:rsid w:val="009E27C0"/>
    <w:rsid w:val="00A00720"/>
    <w:rsid w:val="00A0523E"/>
    <w:rsid w:val="00A12866"/>
    <w:rsid w:val="00A13B2F"/>
    <w:rsid w:val="00A2227A"/>
    <w:rsid w:val="00A6042A"/>
    <w:rsid w:val="00A622EA"/>
    <w:rsid w:val="00AB5790"/>
    <w:rsid w:val="00AC509B"/>
    <w:rsid w:val="00AD3427"/>
    <w:rsid w:val="00AE2082"/>
    <w:rsid w:val="00AE4909"/>
    <w:rsid w:val="00AF5F8A"/>
    <w:rsid w:val="00B00D62"/>
    <w:rsid w:val="00B502AF"/>
    <w:rsid w:val="00B55B08"/>
    <w:rsid w:val="00B60B95"/>
    <w:rsid w:val="00B62CD9"/>
    <w:rsid w:val="00B753C3"/>
    <w:rsid w:val="00B85ED3"/>
    <w:rsid w:val="00BA2D18"/>
    <w:rsid w:val="00BC099C"/>
    <w:rsid w:val="00BC5E03"/>
    <w:rsid w:val="00BD0212"/>
    <w:rsid w:val="00BE3EEC"/>
    <w:rsid w:val="00C063B9"/>
    <w:rsid w:val="00C24171"/>
    <w:rsid w:val="00C4426F"/>
    <w:rsid w:val="00C442D6"/>
    <w:rsid w:val="00C713CA"/>
    <w:rsid w:val="00C74123"/>
    <w:rsid w:val="00C81683"/>
    <w:rsid w:val="00C9671A"/>
    <w:rsid w:val="00CA7F64"/>
    <w:rsid w:val="00CB15FF"/>
    <w:rsid w:val="00CB1A8B"/>
    <w:rsid w:val="00CC4660"/>
    <w:rsid w:val="00CF3C45"/>
    <w:rsid w:val="00D01B8A"/>
    <w:rsid w:val="00D21C5A"/>
    <w:rsid w:val="00D72CF3"/>
    <w:rsid w:val="00D731F6"/>
    <w:rsid w:val="00D86222"/>
    <w:rsid w:val="00D97C4F"/>
    <w:rsid w:val="00DA3B34"/>
    <w:rsid w:val="00DB2997"/>
    <w:rsid w:val="00DD6484"/>
    <w:rsid w:val="00E02572"/>
    <w:rsid w:val="00E526B6"/>
    <w:rsid w:val="00E61095"/>
    <w:rsid w:val="00EA37D0"/>
    <w:rsid w:val="00F3341B"/>
    <w:rsid w:val="00F3633A"/>
    <w:rsid w:val="00F62F15"/>
    <w:rsid w:val="00F874B8"/>
    <w:rsid w:val="00F9401C"/>
    <w:rsid w:val="00F94F73"/>
    <w:rsid w:val="00FA4760"/>
    <w:rsid w:val="00FC4698"/>
    <w:rsid w:val="00FD5F4C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57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qFormat/>
    <w:rsid w:val="00BE3EEC"/>
    <w:pPr>
      <w:keepNext/>
      <w:framePr w:w="3930" w:h="1875" w:hSpace="180" w:wrap="around" w:vAnchor="text" w:hAnchor="page" w:x="1551" w:y="6"/>
      <w:widowControl/>
      <w:autoSpaceDE/>
      <w:autoSpaceDN/>
      <w:jc w:val="center"/>
      <w:outlineLvl w:val="0"/>
    </w:pPr>
    <w:rPr>
      <w:rFonts w:ascii="Arial Cyr Chuv" w:hAnsi="Arial Cyr Chuv"/>
      <w:b/>
      <w:sz w:val="26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5790"/>
    <w:pPr>
      <w:ind w:left="2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579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AB5790"/>
    <w:pPr>
      <w:ind w:left="299" w:right="862"/>
      <w:jc w:val="center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B5790"/>
    <w:pPr>
      <w:ind w:left="219" w:firstLine="907"/>
      <w:jc w:val="both"/>
    </w:pPr>
  </w:style>
  <w:style w:type="character" w:styleId="a6">
    <w:name w:val="Hyperlink"/>
    <w:basedOn w:val="a0"/>
    <w:uiPriority w:val="99"/>
    <w:semiHidden/>
    <w:unhideWhenUsed/>
    <w:rsid w:val="0082148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EEC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BE3EEC"/>
    <w:pPr>
      <w:framePr w:w="3930" w:h="1875" w:hSpace="180" w:wrap="around" w:vAnchor="text" w:hAnchor="page" w:x="1365" w:y="6"/>
      <w:widowControl/>
      <w:autoSpaceDE/>
      <w:autoSpaceDN/>
      <w:ind w:firstLine="567"/>
      <w:jc w:val="center"/>
    </w:pPr>
    <w:rPr>
      <w:rFonts w:ascii="TimesET" w:hAnsi="TimesET"/>
      <w:b/>
      <w:sz w:val="26"/>
      <w:szCs w:val="24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BE3E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EEC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295B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5B46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295B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5B46"/>
    <w:rPr>
      <w:rFonts w:ascii="Times New Roman" w:eastAsia="Times New Roman" w:hAnsi="Times New Roman" w:cs="Times New Roman"/>
      <w:lang w:eastAsia="ru-RU" w:bidi="ru-RU"/>
    </w:rPr>
  </w:style>
  <w:style w:type="paragraph" w:customStyle="1" w:styleId="210">
    <w:name w:val="Основной текст с отступом 21"/>
    <w:basedOn w:val="a"/>
    <w:rsid w:val="00C81683"/>
    <w:pPr>
      <w:autoSpaceDE/>
      <w:autoSpaceDN/>
      <w:ind w:firstLine="720"/>
      <w:jc w:val="both"/>
    </w:pPr>
    <w:rPr>
      <w:rFonts w:eastAsia="Calibri"/>
      <w:sz w:val="26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galatr_obrazov3</dc:creator>
  <cp:keywords/>
  <dc:description/>
  <cp:lastModifiedBy>Администрация города Алатыря (Каляканова Т.Н.)</cp:lastModifiedBy>
  <cp:revision>21</cp:revision>
  <cp:lastPrinted>2020-11-16T10:29:00Z</cp:lastPrinted>
  <dcterms:created xsi:type="dcterms:W3CDTF">2020-09-02T06:39:00Z</dcterms:created>
  <dcterms:modified xsi:type="dcterms:W3CDTF">2020-12-11T09:48:00Z</dcterms:modified>
</cp:coreProperties>
</file>