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B8581B" w:rsidRDefault="006337F9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.11.2019                                                                                                      № 6</w:t>
      </w:r>
      <w:r w:rsidR="00D64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96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964B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41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41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соответствует требованиям  Положения «О регулировании бюджетных правоотношений в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41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2020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2021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2022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412136" w:rsidRPr="00070853" w:rsidTr="00271D7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2854,7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108,7</w:t>
            </w:r>
          </w:p>
        </w:tc>
      </w:tr>
      <w:tr w:rsidR="00412136" w:rsidRPr="00070853" w:rsidTr="00271D7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3725,4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2854,7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108,7</w:t>
            </w:r>
          </w:p>
        </w:tc>
      </w:tr>
      <w:tr w:rsidR="00412136" w:rsidRPr="00070853" w:rsidTr="002C5B93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-63,3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D33B4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33B46">
        <w:rPr>
          <w:rFonts w:ascii="Times New Roman" w:eastAsia="Times New Roman" w:hAnsi="Times New Roman" w:cs="Times New Roman"/>
          <w:sz w:val="24"/>
          <w:szCs w:val="24"/>
          <w:lang w:eastAsia="ru-RU"/>
        </w:rPr>
        <w:t>814,4</w:t>
      </w:r>
      <w:r w:rsidR="008514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D33B46">
        <w:rPr>
          <w:rFonts w:ascii="Times New Roman" w:eastAsia="Times New Roman" w:hAnsi="Times New Roman" w:cs="Times New Roman"/>
          <w:sz w:val="24"/>
          <w:szCs w:val="24"/>
          <w:lang w:eastAsia="ru-RU"/>
        </w:rPr>
        <w:t>813,2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D33B46">
        <w:rPr>
          <w:rFonts w:ascii="Times New Roman" w:eastAsia="Times New Roman" w:hAnsi="Times New Roman" w:cs="Times New Roman"/>
          <w:sz w:val="24"/>
          <w:szCs w:val="24"/>
          <w:lang w:eastAsia="ru-RU"/>
        </w:rPr>
        <w:t>1035,7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D33B46">
        <w:rPr>
          <w:rFonts w:ascii="Times New Roman" w:eastAsia="Times New Roman" w:hAnsi="Times New Roman" w:cs="Times New Roman"/>
          <w:sz w:val="24"/>
          <w:szCs w:val="24"/>
          <w:lang w:eastAsia="ru-RU"/>
        </w:rPr>
        <w:t>46,3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2022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D33B4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91,7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D3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5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41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41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41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r w:rsidR="0041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Кировском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основных направлений бюджетной политики Правительства Российской Федерации и Чувашской Республики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годах,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41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23.07.2001 </w:t>
      </w:r>
      <w:proofErr w:type="spellStart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36.</w:t>
      </w:r>
    </w:p>
    <w:p w:rsidR="006C1974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41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2A20" w:rsidRPr="002C0229" w:rsidRDefault="008E2A20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  <w:r w:rsidR="0041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</w:t>
      </w:r>
      <w:r w:rsidR="00383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6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2854,7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16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2420,7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– </w:t>
      </w:r>
      <w:r w:rsidR="00816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2631,1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  <w:r w:rsidR="00BF3190" w:rsidRPr="0038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5F1E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7B5F1E" w:rsidRDefault="007B5F1E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20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3E1B8B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2019 год (решение о бюджете) сумма </w:t>
            </w:r>
          </w:p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816FEE" w:rsidRPr="002C0229" w:rsidTr="007B5F1E">
        <w:trPr>
          <w:trHeight w:val="471"/>
        </w:trPr>
        <w:tc>
          <w:tcPr>
            <w:tcW w:w="1985" w:type="dxa"/>
            <w:shd w:val="clear" w:color="auto" w:fill="auto"/>
          </w:tcPr>
          <w:p w:rsidR="00816FEE" w:rsidRPr="002C0229" w:rsidRDefault="00816FEE" w:rsidP="003E1B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3662</w:t>
            </w:r>
          </w:p>
        </w:tc>
        <w:tc>
          <w:tcPr>
            <w:tcW w:w="992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2854,7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 w:rsidP="00BB05F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2420,7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84,8</w:t>
            </w:r>
          </w:p>
        </w:tc>
        <w:tc>
          <w:tcPr>
            <w:tcW w:w="1124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2631,1</w:t>
            </w:r>
          </w:p>
        </w:tc>
        <w:tc>
          <w:tcPr>
            <w:tcW w:w="968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108,7</w:t>
            </w:r>
          </w:p>
        </w:tc>
      </w:tr>
      <w:tr w:rsidR="00816FEE" w:rsidRPr="002C0229" w:rsidTr="00F14A65">
        <w:trPr>
          <w:trHeight w:val="272"/>
        </w:trPr>
        <w:tc>
          <w:tcPr>
            <w:tcW w:w="1985" w:type="dxa"/>
            <w:shd w:val="clear" w:color="auto" w:fill="auto"/>
          </w:tcPr>
          <w:p w:rsidR="00816FEE" w:rsidRPr="002C0229" w:rsidRDefault="00816FEE" w:rsidP="005B5B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2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16FEE" w:rsidRPr="002C0229" w:rsidTr="007B5F1E">
        <w:trPr>
          <w:trHeight w:val="557"/>
        </w:trPr>
        <w:tc>
          <w:tcPr>
            <w:tcW w:w="1985" w:type="dxa"/>
            <w:shd w:val="clear" w:color="auto" w:fill="auto"/>
          </w:tcPr>
          <w:p w:rsidR="00816FEE" w:rsidRPr="002C0229" w:rsidRDefault="00816FEE" w:rsidP="005B5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835,2</w:t>
            </w:r>
          </w:p>
        </w:tc>
        <w:tc>
          <w:tcPr>
            <w:tcW w:w="992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896,7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 w:rsidP="00BB05F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107,</w:t>
            </w:r>
            <w:r w:rsidR="00BB05F8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903,1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100,7</w:t>
            </w:r>
          </w:p>
        </w:tc>
        <w:tc>
          <w:tcPr>
            <w:tcW w:w="1124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910,3</w:t>
            </w:r>
          </w:p>
        </w:tc>
        <w:tc>
          <w:tcPr>
            <w:tcW w:w="968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100,8</w:t>
            </w:r>
          </w:p>
        </w:tc>
      </w:tr>
      <w:tr w:rsidR="00816FEE" w:rsidRPr="00110BD4" w:rsidTr="007B5F1E">
        <w:trPr>
          <w:trHeight w:val="580"/>
        </w:trPr>
        <w:tc>
          <w:tcPr>
            <w:tcW w:w="1985" w:type="dxa"/>
            <w:shd w:val="clear" w:color="auto" w:fill="auto"/>
          </w:tcPr>
          <w:p w:rsidR="00816FEE" w:rsidRPr="002C0229" w:rsidRDefault="00816FEE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68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6FEE" w:rsidRPr="002C0229" w:rsidTr="007B5F1E">
        <w:tc>
          <w:tcPr>
            <w:tcW w:w="1985" w:type="dxa"/>
            <w:shd w:val="clear" w:color="auto" w:fill="auto"/>
          </w:tcPr>
          <w:p w:rsidR="00816FEE" w:rsidRPr="002C0229" w:rsidRDefault="00816FEE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2827</w:t>
            </w:r>
          </w:p>
        </w:tc>
        <w:tc>
          <w:tcPr>
            <w:tcW w:w="992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1958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 w:rsidP="00BB05F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69,</w:t>
            </w:r>
            <w:r w:rsidR="00BB05F8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1517,6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77,5</w:t>
            </w:r>
          </w:p>
        </w:tc>
        <w:tc>
          <w:tcPr>
            <w:tcW w:w="1124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1720,8</w:t>
            </w:r>
          </w:p>
        </w:tc>
        <w:tc>
          <w:tcPr>
            <w:tcW w:w="968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113,4</w:t>
            </w:r>
          </w:p>
        </w:tc>
      </w:tr>
      <w:tr w:rsidR="00816FEE" w:rsidRPr="002C0229" w:rsidTr="007B5F1E">
        <w:trPr>
          <w:trHeight w:val="604"/>
        </w:trPr>
        <w:tc>
          <w:tcPr>
            <w:tcW w:w="1985" w:type="dxa"/>
            <w:shd w:val="clear" w:color="auto" w:fill="auto"/>
          </w:tcPr>
          <w:p w:rsidR="00816FEE" w:rsidRPr="002C0229" w:rsidRDefault="00816FEE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92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276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68" w:type="dxa"/>
            <w:shd w:val="clear" w:color="auto" w:fill="auto"/>
          </w:tcPr>
          <w:p w:rsidR="00816FEE" w:rsidRDefault="00816FEE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6B5827" w:rsidRDefault="00C641CF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доходов бюджета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величатся 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358ED">
        <w:rPr>
          <w:rFonts w:ascii="Times New Roman" w:eastAsia="Times New Roman" w:hAnsi="Times New Roman" w:cs="Times New Roman"/>
          <w:sz w:val="24"/>
          <w:szCs w:val="24"/>
          <w:lang w:eastAsia="ru-RU"/>
        </w:rPr>
        <w:t>61,5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на </w:t>
      </w:r>
      <w:r w:rsidR="00D358ED">
        <w:rPr>
          <w:rFonts w:ascii="Times New Roman" w:eastAsia="Times New Roman" w:hAnsi="Times New Roman" w:cs="Times New Roman"/>
          <w:sz w:val="24"/>
          <w:szCs w:val="24"/>
          <w:lang w:eastAsia="ru-RU"/>
        </w:rPr>
        <w:t>7,4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и составят </w:t>
      </w:r>
      <w:r w:rsidR="00D358ED">
        <w:rPr>
          <w:rFonts w:ascii="Times New Roman" w:eastAsia="Times New Roman" w:hAnsi="Times New Roman" w:cs="Times New Roman"/>
          <w:sz w:val="24"/>
          <w:szCs w:val="24"/>
          <w:lang w:eastAsia="ru-RU"/>
        </w:rPr>
        <w:t>896,7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доля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D358ED">
        <w:rPr>
          <w:rFonts w:ascii="Times New Roman" w:eastAsia="Times New Roman" w:hAnsi="Times New Roman" w:cs="Times New Roman"/>
          <w:sz w:val="24"/>
          <w:szCs w:val="24"/>
          <w:lang w:eastAsia="ru-RU"/>
        </w:rPr>
        <w:t>31,4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3190" w:rsidRDefault="007B5F1E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 поступление собственных доходов увеличится на 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D358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58ED">
        <w:rPr>
          <w:rFonts w:ascii="Times New Roman" w:eastAsia="Times New Roman" w:hAnsi="Times New Roman" w:cs="Times New Roman"/>
          <w:sz w:val="24"/>
          <w:szCs w:val="24"/>
          <w:lang w:eastAsia="ru-RU"/>
        </w:rPr>
        <w:t>03,1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 а в 2022 году- на 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 сос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 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58ED">
        <w:rPr>
          <w:rFonts w:ascii="Times New Roman" w:eastAsia="Times New Roman" w:hAnsi="Times New Roman" w:cs="Times New Roman"/>
          <w:sz w:val="24"/>
          <w:szCs w:val="24"/>
          <w:lang w:eastAsia="ru-RU"/>
        </w:rPr>
        <w:t>10,3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Удельный вес  собственных доходов составит  в плановый период </w:t>
      </w:r>
      <w:r w:rsidR="00D358ED">
        <w:rPr>
          <w:rFonts w:ascii="Times New Roman" w:eastAsia="Times New Roman" w:hAnsi="Times New Roman" w:cs="Times New Roman"/>
          <w:sz w:val="24"/>
          <w:szCs w:val="24"/>
          <w:lang w:eastAsia="ru-RU"/>
        </w:rPr>
        <w:t>37,3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</w:t>
      </w:r>
      <w:r w:rsidR="00D358ED">
        <w:rPr>
          <w:rFonts w:ascii="Times New Roman" w:eastAsia="Times New Roman" w:hAnsi="Times New Roman" w:cs="Times New Roman"/>
          <w:sz w:val="24"/>
          <w:szCs w:val="24"/>
          <w:lang w:eastAsia="ru-RU"/>
        </w:rPr>
        <w:t>34,6</w:t>
      </w:r>
      <w:r w:rsidR="00F14A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в 2021 и 2022 годах. </w:t>
      </w:r>
    </w:p>
    <w:p w:rsidR="006B5827" w:rsidRPr="003B0526" w:rsidRDefault="006B5827" w:rsidP="006B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таблице.</w:t>
      </w:r>
    </w:p>
    <w:p w:rsidR="006B5827" w:rsidRDefault="006B5827" w:rsidP="006B58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4536"/>
        <w:gridCol w:w="1418"/>
        <w:gridCol w:w="1276"/>
        <w:gridCol w:w="1275"/>
        <w:gridCol w:w="1134"/>
      </w:tblGrid>
      <w:tr w:rsidR="00271D79" w:rsidRPr="0013605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Pr="00136055" w:rsidRDefault="00271D79" w:rsidP="003E1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136055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2019 год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136055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136055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136055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2022 год</w:t>
            </w:r>
          </w:p>
        </w:tc>
      </w:tr>
      <w:tr w:rsidR="00136055" w:rsidRPr="0013605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55" w:rsidRPr="00136055" w:rsidRDefault="00136055" w:rsidP="00271D79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 xml:space="preserve">Собственные </w:t>
            </w:r>
            <w:proofErr w:type="spellStart"/>
            <w:r w:rsidRPr="00136055">
              <w:rPr>
                <w:sz w:val="24"/>
                <w:szCs w:val="24"/>
              </w:rPr>
              <w:t>доходы,всего</w:t>
            </w:r>
            <w:proofErr w:type="spellEnd"/>
            <w:r w:rsidRPr="00136055">
              <w:rPr>
                <w:sz w:val="24"/>
                <w:szCs w:val="24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835,2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910,3</w:t>
            </w:r>
          </w:p>
        </w:tc>
      </w:tr>
      <w:tr w:rsidR="00136055" w:rsidRPr="0013605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55" w:rsidRPr="00136055" w:rsidRDefault="00136055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 </w:t>
            </w:r>
          </w:p>
        </w:tc>
      </w:tr>
      <w:tr w:rsidR="00136055" w:rsidRPr="0013605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55" w:rsidRPr="00136055" w:rsidRDefault="00136055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368,1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502,1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509,3</w:t>
            </w:r>
          </w:p>
        </w:tc>
      </w:tr>
      <w:tr w:rsidR="00136055" w:rsidRPr="0013605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55" w:rsidRPr="00136055" w:rsidRDefault="00136055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055">
              <w:rPr>
                <w:i/>
                <w:i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055">
              <w:rPr>
                <w:i/>
                <w:iCs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055">
              <w:rPr>
                <w:i/>
                <w:iCs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055">
              <w:rPr>
                <w:i/>
                <w:iCs/>
                <w:color w:val="000000"/>
                <w:sz w:val="18"/>
                <w:szCs w:val="18"/>
              </w:rPr>
              <w:t>55,9</w:t>
            </w:r>
          </w:p>
        </w:tc>
      </w:tr>
      <w:tr w:rsidR="00136055" w:rsidRPr="0013605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55" w:rsidRPr="00136055" w:rsidRDefault="00136055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467,1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</w:rPr>
              <w:t>401</w:t>
            </w:r>
          </w:p>
        </w:tc>
      </w:tr>
      <w:tr w:rsidR="00136055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55" w:rsidRPr="00136055" w:rsidRDefault="00136055" w:rsidP="00271D79">
            <w:pPr>
              <w:jc w:val="both"/>
              <w:rPr>
                <w:sz w:val="24"/>
                <w:szCs w:val="24"/>
              </w:rPr>
            </w:pPr>
            <w:proofErr w:type="spellStart"/>
            <w:r w:rsidRPr="00136055">
              <w:rPr>
                <w:sz w:val="24"/>
                <w:szCs w:val="24"/>
              </w:rPr>
              <w:t>Уд.вес</w:t>
            </w:r>
            <w:proofErr w:type="spellEnd"/>
            <w:r w:rsidRPr="00136055">
              <w:rPr>
                <w:sz w:val="24"/>
                <w:szCs w:val="24"/>
              </w:rPr>
              <w:t xml:space="preserve"> общем объеме собств.доходов(%)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055">
              <w:rPr>
                <w:i/>
                <w:iCs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055">
              <w:rPr>
                <w:i/>
                <w:iCs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Pr="00136055" w:rsidRDefault="0013605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055">
              <w:rPr>
                <w:i/>
                <w:i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5" w:rsidRDefault="0013605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055">
              <w:rPr>
                <w:i/>
                <w:iCs/>
                <w:color w:val="000000"/>
                <w:sz w:val="18"/>
                <w:szCs w:val="18"/>
              </w:rPr>
              <w:t>44,1</w:t>
            </w:r>
          </w:p>
        </w:tc>
      </w:tr>
    </w:tbl>
    <w:p w:rsidR="006B5827" w:rsidRDefault="006B5827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F0" w:rsidRPr="00E2634C" w:rsidRDefault="006A3587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составляют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доходы, их доля в 2019 году состав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55,9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плановом 2020 году удельный вес составит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44,7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период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годы -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44,4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44,1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соответственно.</w:t>
      </w:r>
    </w:p>
    <w:p w:rsidR="006B5827" w:rsidRPr="00E2634C" w:rsidRDefault="00C55E0A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2019 годом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66,1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14,2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%,и составит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401,0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2022 год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неналоговых доходов планируется  на уровне 2020 года и составит также 401,0  тыс. руб.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E0A" w:rsidRDefault="00BB05F8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алоговые поступления  на 2020 год планируются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E2634C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134,7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предшествующему году. На 2021 и 2022 годы  планируется </w:t>
      </w:r>
      <w:r w:rsidR="00FB59F9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незначительное увеличение поступления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FB59F9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59F9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F3190" w:rsidRPr="00865A7D" w:rsidRDefault="00BF3190" w:rsidP="00A6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уровня  запланированного на 2019 год на </w:t>
      </w:r>
      <w:r w:rsidR="00BB05F8">
        <w:rPr>
          <w:rFonts w:ascii="Times New Roman" w:eastAsia="Times New Roman" w:hAnsi="Times New Roman" w:cs="Times New Roman"/>
          <w:sz w:val="24"/>
          <w:szCs w:val="24"/>
          <w:lang w:eastAsia="ru-RU"/>
        </w:rPr>
        <w:t>30,0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 </w:t>
      </w:r>
      <w:r w:rsidR="00BB05F8">
        <w:rPr>
          <w:rFonts w:ascii="Times New Roman" w:eastAsia="Times New Roman" w:hAnsi="Times New Roman" w:cs="Times New Roman"/>
          <w:sz w:val="24"/>
          <w:szCs w:val="24"/>
          <w:lang w:eastAsia="ru-RU"/>
        </w:rPr>
        <w:t>1958,0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снижение поступления на </w:t>
      </w:r>
      <w:r w:rsidR="00BB05F8">
        <w:rPr>
          <w:rFonts w:ascii="Times New Roman" w:eastAsia="Times New Roman" w:hAnsi="Times New Roman" w:cs="Times New Roman"/>
          <w:sz w:val="24"/>
          <w:szCs w:val="24"/>
          <w:lang w:eastAsia="ru-RU"/>
        </w:rPr>
        <w:t>22,5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5F8">
        <w:rPr>
          <w:rFonts w:ascii="Times New Roman" w:eastAsia="Times New Roman" w:hAnsi="Times New Roman" w:cs="Times New Roman"/>
          <w:sz w:val="24"/>
          <w:szCs w:val="24"/>
          <w:lang w:eastAsia="ru-RU"/>
        </w:rPr>
        <w:t>1517,6</w:t>
      </w:r>
      <w:r w:rsid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запланировано  на уровне 1</w:t>
      </w:r>
      <w:r w:rsidR="009C7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05F8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к предыдущему году, или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5F8">
        <w:rPr>
          <w:rFonts w:ascii="Times New Roman" w:eastAsia="Times New Roman" w:hAnsi="Times New Roman" w:cs="Times New Roman"/>
          <w:sz w:val="24"/>
          <w:szCs w:val="24"/>
          <w:lang w:eastAsia="ru-RU"/>
        </w:rPr>
        <w:t>1720,8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BB2" w:rsidRPr="00843129" w:rsidRDefault="00063062" w:rsidP="001C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29">
        <w:rPr>
          <w:rFonts w:ascii="Times New Roman" w:hAnsi="Times New Roman" w:cs="Times New Roman"/>
          <w:b/>
          <w:sz w:val="24"/>
          <w:szCs w:val="24"/>
        </w:rPr>
        <w:t>Поступление налога на доходы физических лиц</w:t>
      </w:r>
      <w:r w:rsidRPr="00843129">
        <w:rPr>
          <w:rFonts w:ascii="Times New Roman" w:hAnsi="Times New Roman" w:cs="Times New Roman"/>
          <w:sz w:val="24"/>
          <w:szCs w:val="24"/>
        </w:rPr>
        <w:t xml:space="preserve"> на 2020 год  запланировано </w:t>
      </w:r>
      <w:r w:rsidR="00E2634C" w:rsidRPr="00843129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1C7BB2" w:rsidRPr="00843129">
        <w:rPr>
          <w:rFonts w:ascii="Times New Roman" w:hAnsi="Times New Roman" w:cs="Times New Roman"/>
          <w:sz w:val="24"/>
          <w:szCs w:val="24"/>
        </w:rPr>
        <w:t>140,0% к уровню у</w:t>
      </w:r>
      <w:r w:rsidR="00E2634C" w:rsidRPr="00843129">
        <w:rPr>
          <w:rFonts w:ascii="Times New Roman" w:hAnsi="Times New Roman" w:cs="Times New Roman"/>
          <w:sz w:val="24"/>
          <w:szCs w:val="24"/>
        </w:rPr>
        <w:t xml:space="preserve">твержденного показателя на 2019 год </w:t>
      </w:r>
      <w:r w:rsidR="001C7BB2" w:rsidRPr="00843129">
        <w:rPr>
          <w:rFonts w:ascii="Times New Roman" w:hAnsi="Times New Roman" w:cs="Times New Roman"/>
          <w:sz w:val="24"/>
          <w:szCs w:val="24"/>
        </w:rPr>
        <w:t>, или в сумме 7,0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7BB2" w:rsidRPr="00843129">
        <w:rPr>
          <w:rFonts w:ascii="Times New Roman" w:hAnsi="Times New Roman" w:cs="Times New Roman"/>
          <w:sz w:val="24"/>
          <w:szCs w:val="24"/>
        </w:rPr>
        <w:t>. Удельный вес налога составит  0,8 %  суммы предполагаемых собственных доходов.</w:t>
      </w:r>
    </w:p>
    <w:p w:rsidR="001C7BB2" w:rsidRPr="00843129" w:rsidRDefault="001C7BB2" w:rsidP="001C7BB2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3129">
        <w:rPr>
          <w:rFonts w:ascii="Times New Roman" w:hAnsi="Times New Roman" w:cs="Times New Roman"/>
          <w:sz w:val="24"/>
          <w:szCs w:val="24"/>
        </w:rPr>
        <w:t xml:space="preserve">На  2021 год  прогнозируемый  объем поступления составит  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5,4 тыс. рублей</w:t>
      </w:r>
      <w:r w:rsidRPr="00843129">
        <w:rPr>
          <w:rFonts w:ascii="Times New Roman" w:hAnsi="Times New Roman" w:cs="Times New Roman"/>
          <w:sz w:val="24"/>
          <w:szCs w:val="24"/>
        </w:rPr>
        <w:t xml:space="preserve">, на 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2022 год – 5,6 тыс. рублей.  </w:t>
      </w:r>
    </w:p>
    <w:p w:rsidR="00063062" w:rsidRDefault="007336DB" w:rsidP="00843129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53BC5">
        <w:rPr>
          <w:rFonts w:ascii="Times New Roman" w:hAnsi="Times New Roman" w:cs="Times New Roman"/>
          <w:sz w:val="24"/>
          <w:szCs w:val="24"/>
        </w:rPr>
        <w:t xml:space="preserve"> в ростом к плану 2019 года на </w:t>
      </w:r>
      <w:r w:rsidR="001C7BB2">
        <w:rPr>
          <w:rFonts w:ascii="Times New Roman" w:hAnsi="Times New Roman" w:cs="Times New Roman"/>
          <w:sz w:val="24"/>
          <w:szCs w:val="24"/>
        </w:rPr>
        <w:t>41,1</w:t>
      </w:r>
      <w:r w:rsidR="00E53BC5">
        <w:rPr>
          <w:rFonts w:ascii="Times New Roman" w:hAnsi="Times New Roman" w:cs="Times New Roman"/>
          <w:sz w:val="24"/>
          <w:szCs w:val="24"/>
        </w:rPr>
        <w:t xml:space="preserve"> %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C7BB2">
        <w:rPr>
          <w:rFonts w:ascii="Times New Roman" w:hAnsi="Times New Roman" w:cs="Times New Roman"/>
          <w:sz w:val="24"/>
          <w:szCs w:val="24"/>
        </w:rPr>
        <w:t>332,7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C7BB2">
        <w:rPr>
          <w:rFonts w:ascii="Times New Roman" w:hAnsi="Times New Roman" w:cs="Times New Roman"/>
          <w:sz w:val="24"/>
          <w:szCs w:val="24"/>
        </w:rPr>
        <w:t>37,1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</w:t>
      </w:r>
      <w:r w:rsidR="009C7D79">
        <w:rPr>
          <w:rFonts w:ascii="Times New Roman" w:hAnsi="Times New Roman" w:cs="Times New Roman"/>
          <w:sz w:val="24"/>
          <w:szCs w:val="24"/>
        </w:rPr>
        <w:t>-2022 год</w:t>
      </w:r>
      <w:r w:rsidR="00E53BC5">
        <w:rPr>
          <w:rFonts w:ascii="Times New Roman" w:hAnsi="Times New Roman" w:cs="Times New Roman"/>
          <w:sz w:val="24"/>
          <w:szCs w:val="24"/>
        </w:rPr>
        <w:t>ы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9C7D7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C7BB2">
        <w:rPr>
          <w:rFonts w:ascii="Times New Roman" w:hAnsi="Times New Roman" w:cs="Times New Roman"/>
          <w:sz w:val="24"/>
          <w:szCs w:val="24"/>
        </w:rPr>
        <w:t>332,7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7D79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B2" w:rsidRDefault="001C7BB2" w:rsidP="001C7BB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1C7BB2">
        <w:rPr>
          <w:rFonts w:ascii="Times New Roman" w:hAnsi="Times New Roman" w:cs="Times New Roman"/>
          <w:b/>
          <w:sz w:val="24"/>
          <w:szCs w:val="24"/>
        </w:rPr>
        <w:t>единого сельхозналога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на 2020 год 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период 2021 и 2022 годов планируется на уровне утвержденной на 2019 год величины в сумме по 10,0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1C7BB2" w:rsidRDefault="001C7BB2" w:rsidP="001C7BB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удельный вес  налога  составит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129">
        <w:rPr>
          <w:rFonts w:ascii="Times New Roman" w:hAnsi="Times New Roman" w:cs="Times New Roman"/>
          <w:sz w:val="24"/>
          <w:szCs w:val="24"/>
        </w:rPr>
        <w:t>,1</w:t>
      </w:r>
      <w:r w:rsidRPr="0006306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BC5" w:rsidRDefault="001D05CC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с </w:t>
      </w:r>
      <w:r w:rsidR="00843129">
        <w:rPr>
          <w:rFonts w:ascii="Times New Roman" w:hAnsi="Times New Roman" w:cs="Times New Roman"/>
          <w:sz w:val="24"/>
          <w:szCs w:val="24"/>
        </w:rPr>
        <w:t xml:space="preserve">удвоением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55D">
        <w:rPr>
          <w:rFonts w:ascii="Times New Roman" w:hAnsi="Times New Roman" w:cs="Times New Roman"/>
          <w:sz w:val="24"/>
          <w:szCs w:val="24"/>
        </w:rPr>
        <w:t xml:space="preserve"> в плану 2019 года  </w:t>
      </w:r>
      <w:r w:rsidR="00E53BC5">
        <w:rPr>
          <w:rFonts w:ascii="Times New Roman" w:hAnsi="Times New Roman" w:cs="Times New Roman"/>
          <w:sz w:val="24"/>
          <w:szCs w:val="24"/>
        </w:rPr>
        <w:t xml:space="preserve">и </w:t>
      </w:r>
      <w:r w:rsidR="0036455D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843129">
        <w:rPr>
          <w:rFonts w:ascii="Times New Roman" w:hAnsi="Times New Roman" w:cs="Times New Roman"/>
          <w:sz w:val="24"/>
          <w:szCs w:val="24"/>
        </w:rPr>
        <w:t>35,0</w:t>
      </w:r>
      <w:r w:rsidR="0036455D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</w:t>
      </w:r>
      <w:r w:rsidR="00E53BC5"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 предполагаемых собственных доходов</w:t>
      </w:r>
      <w:r w:rsidR="00E53BC5">
        <w:rPr>
          <w:rFonts w:ascii="Times New Roman" w:hAnsi="Times New Roman" w:cs="Times New Roman"/>
          <w:sz w:val="24"/>
          <w:szCs w:val="24"/>
        </w:rPr>
        <w:t xml:space="preserve"> удельный вес  налога 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843129">
        <w:rPr>
          <w:rFonts w:ascii="Times New Roman" w:hAnsi="Times New Roman" w:cs="Times New Roman"/>
          <w:sz w:val="24"/>
          <w:szCs w:val="24"/>
        </w:rPr>
        <w:t>3,9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64" w:rsidRDefault="001D05CC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запланировано в сумме </w:t>
      </w:r>
      <w:r w:rsidR="00843129">
        <w:rPr>
          <w:rFonts w:ascii="Times New Roman" w:hAnsi="Times New Roman" w:cs="Times New Roman"/>
          <w:sz w:val="24"/>
          <w:szCs w:val="24"/>
        </w:rPr>
        <w:t>38,0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рублей, на 2022  год – </w:t>
      </w:r>
      <w:r w:rsidR="00843129">
        <w:rPr>
          <w:rFonts w:ascii="Times New Roman" w:hAnsi="Times New Roman" w:cs="Times New Roman"/>
          <w:sz w:val="24"/>
          <w:szCs w:val="24"/>
        </w:rPr>
        <w:t>40,0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843129" w:rsidRDefault="00843129" w:rsidP="00843129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5CC"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 w:rsidR="001D05CC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 w:rsidR="001D05C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36455D">
        <w:rPr>
          <w:rFonts w:ascii="Times New Roman" w:hAnsi="Times New Roman" w:cs="Times New Roman"/>
          <w:sz w:val="24"/>
          <w:szCs w:val="24"/>
        </w:rPr>
        <w:t xml:space="preserve">  </w:t>
      </w:r>
      <w:r w:rsidRPr="00063062">
        <w:rPr>
          <w:rFonts w:ascii="Times New Roman" w:hAnsi="Times New Roman" w:cs="Times New Roman"/>
          <w:sz w:val="24"/>
          <w:szCs w:val="24"/>
        </w:rPr>
        <w:t xml:space="preserve">на 2020 год 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 планируется на уровне утвержденной на 2019 год величины в сумме по 10,0 тыс. руб. ежегодно.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843129">
        <w:rPr>
          <w:rFonts w:ascii="Times New Roman" w:hAnsi="Times New Roman" w:cs="Times New Roman"/>
          <w:sz w:val="24"/>
          <w:szCs w:val="24"/>
        </w:rPr>
        <w:t>1,1</w:t>
      </w:r>
      <w:r w:rsidR="00F70C08">
        <w:rPr>
          <w:rFonts w:ascii="Times New Roman" w:hAnsi="Times New Roman" w:cs="Times New Roman"/>
          <w:sz w:val="24"/>
          <w:szCs w:val="24"/>
        </w:rPr>
        <w:t xml:space="preserve"> %</w:t>
      </w:r>
      <w:r w:rsidR="00852F6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>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</w:t>
      </w:r>
      <w:r w:rsidR="00F70C08">
        <w:rPr>
          <w:rFonts w:ascii="Times New Roman" w:hAnsi="Times New Roman" w:cs="Times New Roman"/>
          <w:sz w:val="24"/>
          <w:szCs w:val="24"/>
        </w:rPr>
        <w:t xml:space="preserve"> </w:t>
      </w:r>
      <w:r w:rsidR="0085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ростом к утвержденному показателю </w:t>
      </w:r>
      <w:r w:rsidR="00F70C08">
        <w:rPr>
          <w:rFonts w:ascii="Times New Roman" w:hAnsi="Times New Roman" w:cs="Times New Roman"/>
          <w:sz w:val="24"/>
          <w:szCs w:val="24"/>
        </w:rPr>
        <w:t xml:space="preserve"> 2019 года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3129">
        <w:rPr>
          <w:rFonts w:ascii="Times New Roman" w:hAnsi="Times New Roman" w:cs="Times New Roman"/>
          <w:sz w:val="24"/>
          <w:szCs w:val="24"/>
        </w:rPr>
        <w:t>90</w:t>
      </w:r>
      <w:r w:rsidR="0018065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руб.) </w:t>
      </w:r>
      <w:r w:rsidR="00F70C08">
        <w:rPr>
          <w:rFonts w:ascii="Times New Roman" w:hAnsi="Times New Roman" w:cs="Times New Roman"/>
          <w:sz w:val="24"/>
          <w:szCs w:val="24"/>
        </w:rPr>
        <w:t xml:space="preserve">на </w:t>
      </w:r>
      <w:r w:rsidR="00180659">
        <w:rPr>
          <w:rFonts w:ascii="Times New Roman" w:hAnsi="Times New Roman" w:cs="Times New Roman"/>
          <w:sz w:val="24"/>
          <w:szCs w:val="24"/>
        </w:rPr>
        <w:t>1</w:t>
      </w:r>
      <w:r w:rsidR="00843129">
        <w:rPr>
          <w:rFonts w:ascii="Times New Roman" w:hAnsi="Times New Roman" w:cs="Times New Roman"/>
          <w:sz w:val="24"/>
          <w:szCs w:val="24"/>
        </w:rPr>
        <w:t>0</w:t>
      </w:r>
      <w:r w:rsidR="00180659">
        <w:rPr>
          <w:rFonts w:ascii="Times New Roman" w:hAnsi="Times New Roman" w:cs="Times New Roman"/>
          <w:sz w:val="24"/>
          <w:szCs w:val="24"/>
        </w:rPr>
        <w:t>,0</w:t>
      </w:r>
      <w:r w:rsidR="00F70C08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43129">
        <w:rPr>
          <w:rFonts w:ascii="Times New Roman" w:hAnsi="Times New Roman" w:cs="Times New Roman"/>
          <w:sz w:val="24"/>
          <w:szCs w:val="24"/>
        </w:rPr>
        <w:t>11,1</w:t>
      </w:r>
      <w:r>
        <w:rPr>
          <w:rFonts w:ascii="Times New Roman" w:hAnsi="Times New Roman" w:cs="Times New Roman"/>
          <w:sz w:val="24"/>
          <w:szCs w:val="24"/>
        </w:rPr>
        <w:t xml:space="preserve"> % , и составит </w:t>
      </w:r>
      <w:r w:rsidR="00843129">
        <w:rPr>
          <w:rFonts w:ascii="Times New Roman" w:hAnsi="Times New Roman" w:cs="Times New Roman"/>
          <w:sz w:val="24"/>
          <w:szCs w:val="24"/>
        </w:rPr>
        <w:t>100,0</w:t>
      </w:r>
      <w:r w:rsidR="008C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852F64" w:rsidRPr="00852F64">
        <w:rPr>
          <w:rFonts w:ascii="Times New Roman" w:hAnsi="Times New Roman" w:cs="Times New Roman"/>
          <w:sz w:val="24"/>
          <w:szCs w:val="24"/>
        </w:rPr>
        <w:t xml:space="preserve"> </w:t>
      </w:r>
      <w:r w:rsidR="00852F64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годы поступление налога планируется </w:t>
      </w:r>
      <w:r w:rsidR="00843129">
        <w:rPr>
          <w:rFonts w:ascii="Times New Roman" w:hAnsi="Times New Roman" w:cs="Times New Roman"/>
          <w:sz w:val="24"/>
          <w:szCs w:val="24"/>
        </w:rPr>
        <w:t>с ежегодным приростом  в сумме  5,0 тыс. руб. и составит 105,0</w:t>
      </w:r>
      <w:r w:rsidR="00852F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43129">
        <w:rPr>
          <w:rFonts w:ascii="Times New Roman" w:hAnsi="Times New Roman" w:cs="Times New Roman"/>
          <w:sz w:val="24"/>
          <w:szCs w:val="24"/>
        </w:rPr>
        <w:t xml:space="preserve"> в 2021 году, и 110,0</w:t>
      </w:r>
      <w:r w:rsidR="00852F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43129">
        <w:rPr>
          <w:rFonts w:ascii="Times New Roman" w:hAnsi="Times New Roman" w:cs="Times New Roman"/>
          <w:sz w:val="24"/>
          <w:szCs w:val="24"/>
        </w:rPr>
        <w:t>- в 2022 году.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64">
        <w:rPr>
          <w:rFonts w:ascii="Times New Roman" w:hAnsi="Times New Roman" w:cs="Times New Roman"/>
          <w:sz w:val="24"/>
          <w:szCs w:val="24"/>
        </w:rPr>
        <w:t xml:space="preserve"> Удельный вес налога </w:t>
      </w:r>
      <w:r w:rsidR="00852F64" w:rsidRPr="00852F64">
        <w:rPr>
          <w:rFonts w:ascii="Times New Roman" w:hAnsi="Times New Roman" w:cs="Times New Roman"/>
          <w:sz w:val="24"/>
          <w:szCs w:val="24"/>
        </w:rPr>
        <w:t>в 2020 г.</w:t>
      </w:r>
      <w:r w:rsidRPr="00852F6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843129">
        <w:rPr>
          <w:rFonts w:ascii="Times New Roman" w:hAnsi="Times New Roman" w:cs="Times New Roman"/>
          <w:sz w:val="24"/>
          <w:szCs w:val="24"/>
        </w:rPr>
        <w:t>11,2</w:t>
      </w:r>
      <w:r w:rsidR="00180659">
        <w:rPr>
          <w:rFonts w:ascii="Times New Roman" w:hAnsi="Times New Roman" w:cs="Times New Roman"/>
          <w:sz w:val="24"/>
          <w:szCs w:val="24"/>
        </w:rPr>
        <w:t xml:space="preserve">% </w:t>
      </w:r>
      <w:r w:rsidR="00063062" w:rsidRPr="00852F64">
        <w:rPr>
          <w:rFonts w:ascii="Times New Roman" w:hAnsi="Times New Roman" w:cs="Times New Roman"/>
          <w:sz w:val="24"/>
          <w:szCs w:val="24"/>
        </w:rPr>
        <w:t>от общей суммы предполагаемых собственных доходов</w:t>
      </w:r>
      <w:r w:rsidRPr="00852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C1E" w:rsidRDefault="00180659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659">
        <w:rPr>
          <w:rFonts w:ascii="Times New Roman" w:hAnsi="Times New Roman" w:cs="Times New Roman"/>
          <w:b/>
          <w:sz w:val="24"/>
          <w:szCs w:val="24"/>
          <w:lang w:eastAsia="ru-RU"/>
        </w:rPr>
        <w:t>Госпошлина</w:t>
      </w:r>
      <w:r w:rsidRPr="00180659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80659">
        <w:rPr>
          <w:rFonts w:ascii="Times New Roman" w:hAnsi="Times New Roman" w:cs="Times New Roman"/>
          <w:sz w:val="24"/>
          <w:szCs w:val="24"/>
          <w:lang w:eastAsia="ru-RU"/>
        </w:rPr>
        <w:t xml:space="preserve">,0 тыс. руб. ежегодно.   </w:t>
      </w:r>
    </w:p>
    <w:p w:rsidR="00671C1E" w:rsidRPr="00C961F6" w:rsidRDefault="00671C1E" w:rsidP="00671C1E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659">
        <w:rPr>
          <w:rFonts w:ascii="Times New Roman" w:hAnsi="Times New Roman" w:cs="Times New Roman"/>
          <w:sz w:val="24"/>
          <w:szCs w:val="24"/>
        </w:rPr>
        <w:t xml:space="preserve">Удельный вес  налоговых доходов в общем объеме собственных доходов  в  2020 году </w:t>
      </w:r>
      <w:r w:rsidRPr="00C961F6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>55,3 %</w:t>
      </w:r>
      <w:r w:rsidRPr="00C961F6">
        <w:rPr>
          <w:rFonts w:ascii="Times New Roman" w:hAnsi="Times New Roman" w:cs="Times New Roman"/>
          <w:sz w:val="24"/>
          <w:szCs w:val="24"/>
        </w:rPr>
        <w:t xml:space="preserve">, в 2021 году- </w:t>
      </w:r>
      <w:r>
        <w:rPr>
          <w:rFonts w:ascii="Times New Roman" w:hAnsi="Times New Roman" w:cs="Times New Roman"/>
          <w:sz w:val="24"/>
          <w:szCs w:val="24"/>
        </w:rPr>
        <w:t>55,6</w:t>
      </w:r>
      <w:r w:rsidRPr="00C961F6">
        <w:rPr>
          <w:rFonts w:ascii="Times New Roman" w:hAnsi="Times New Roman" w:cs="Times New Roman"/>
          <w:sz w:val="24"/>
          <w:szCs w:val="24"/>
        </w:rPr>
        <w:t xml:space="preserve">%, в 2022 году- </w:t>
      </w:r>
      <w:r>
        <w:rPr>
          <w:rFonts w:ascii="Times New Roman" w:hAnsi="Times New Roman" w:cs="Times New Roman"/>
          <w:sz w:val="24"/>
          <w:szCs w:val="24"/>
        </w:rPr>
        <w:t>55,9</w:t>
      </w:r>
      <w:r w:rsidRPr="00C961F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52F64" w:rsidRPr="000F5B0E" w:rsidRDefault="00BF3190" w:rsidP="00B8581B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6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Неналоговые доходы</w:t>
      </w:r>
      <w:r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в бюджет  </w:t>
      </w:r>
      <w:r w:rsidR="0041788D">
        <w:rPr>
          <w:rFonts w:ascii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 w:rsidRPr="00852F64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 год </w:t>
      </w:r>
      <w:r w:rsidR="00843129">
        <w:rPr>
          <w:rFonts w:ascii="Times New Roman" w:hAnsi="Times New Roman" w:cs="Times New Roman"/>
          <w:sz w:val="24"/>
          <w:szCs w:val="24"/>
          <w:lang w:eastAsia="ru-RU"/>
        </w:rPr>
        <w:t>и плановый период 2021 и 2022 год</w:t>
      </w:r>
      <w:r w:rsidR="006B6F7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8431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предусмотрены в объеме </w:t>
      </w:r>
      <w:r w:rsidR="006B6F7C">
        <w:rPr>
          <w:rFonts w:ascii="Times New Roman" w:hAnsi="Times New Roman" w:cs="Times New Roman"/>
          <w:sz w:val="24"/>
          <w:szCs w:val="24"/>
          <w:lang w:eastAsia="ru-RU"/>
        </w:rPr>
        <w:t xml:space="preserve">401,0 тыс. руб. ежегодно, что составляет 85,8 % </w:t>
      </w:r>
      <w:r w:rsidR="00352690"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F70C08" w:rsidRPr="00852F64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утвержденному </w:t>
      </w:r>
      <w:r w:rsidR="006B6F7C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показателю </w:t>
      </w:r>
      <w:r w:rsidR="00352690" w:rsidRPr="000F5B0E">
        <w:rPr>
          <w:rFonts w:ascii="Times New Roman" w:hAnsi="Times New Roman" w:cs="Times New Roman"/>
          <w:sz w:val="24"/>
          <w:szCs w:val="24"/>
          <w:lang w:eastAsia="ru-RU"/>
        </w:rPr>
        <w:t>2019 года.</w:t>
      </w:r>
    </w:p>
    <w:p w:rsidR="008D0B29" w:rsidRPr="00671C1E" w:rsidRDefault="00352690" w:rsidP="006B6F7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B0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F3190" w:rsidRPr="008D0B29">
        <w:rPr>
          <w:rFonts w:ascii="Times New Roman" w:hAnsi="Times New Roman" w:cs="Times New Roman"/>
          <w:lang w:eastAsia="ru-RU"/>
        </w:rPr>
        <w:t xml:space="preserve">   </w:t>
      </w:r>
      <w:r w:rsidRPr="008D0B29">
        <w:rPr>
          <w:rFonts w:ascii="Times New Roman" w:hAnsi="Times New Roman" w:cs="Times New Roman"/>
        </w:rPr>
        <w:t xml:space="preserve">В составе неналоговых доходов </w:t>
      </w:r>
      <w:r w:rsidR="0041788D">
        <w:rPr>
          <w:rFonts w:ascii="Times New Roman" w:hAnsi="Times New Roman" w:cs="Times New Roman"/>
        </w:rPr>
        <w:t>Кировского</w:t>
      </w:r>
      <w:r w:rsidRPr="008D0B29">
        <w:rPr>
          <w:rFonts w:ascii="Times New Roman" w:hAnsi="Times New Roman" w:cs="Times New Roman"/>
        </w:rPr>
        <w:t xml:space="preserve"> сельского поселения на 2020 год и на </w:t>
      </w:r>
      <w:r w:rsidRPr="00671C1E">
        <w:rPr>
          <w:rFonts w:ascii="Times New Roman" w:hAnsi="Times New Roman" w:cs="Times New Roman"/>
        </w:rPr>
        <w:t xml:space="preserve">плановый  </w:t>
      </w:r>
      <w:r w:rsidRPr="00671C1E">
        <w:rPr>
          <w:rFonts w:ascii="Times New Roman" w:hAnsi="Times New Roman" w:cs="Times New Roman"/>
          <w:sz w:val="24"/>
          <w:szCs w:val="24"/>
        </w:rPr>
        <w:t>период 2021 и 2022 годов планируются:</w:t>
      </w:r>
      <w:r w:rsidR="008D0B29" w:rsidRPr="00671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7C" w:rsidRPr="00671C1E" w:rsidRDefault="006B6F7C" w:rsidP="006B6F7C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 xml:space="preserve">- </w:t>
      </w:r>
      <w:r w:rsidRPr="00671C1E">
        <w:rPr>
          <w:rFonts w:ascii="Times New Roman" w:hAnsi="Times New Roman" w:cs="Times New Roman"/>
          <w:b/>
          <w:sz w:val="24"/>
          <w:szCs w:val="24"/>
        </w:rPr>
        <w:t>доходы, получаемые в виде арендной платы за земельные участки,</w:t>
      </w:r>
      <w:r w:rsidRPr="00671C1E">
        <w:rPr>
          <w:rFonts w:ascii="Times New Roman" w:hAnsi="Times New Roman" w:cs="Times New Roman"/>
          <w:sz w:val="24"/>
          <w:szCs w:val="24"/>
        </w:rPr>
        <w:t xml:space="preserve"> </w:t>
      </w:r>
      <w:r w:rsidRPr="00671C1E">
        <w:rPr>
          <w:rFonts w:ascii="Times New Roman" w:hAnsi="Times New Roman" w:cs="Times New Roman"/>
          <w:b/>
          <w:sz w:val="24"/>
          <w:szCs w:val="24"/>
        </w:rPr>
        <w:t xml:space="preserve">находящиеся в собственности поселений, на 2020 год </w:t>
      </w:r>
      <w:r w:rsidRPr="00671C1E">
        <w:rPr>
          <w:rFonts w:ascii="Times New Roman" w:hAnsi="Times New Roman" w:cs="Times New Roman"/>
          <w:sz w:val="24"/>
          <w:szCs w:val="24"/>
        </w:rPr>
        <w:t xml:space="preserve"> в сумме 290,0 тыс. рублей ,или  со снижением на 16,4 % ,или на </w:t>
      </w:r>
      <w:r w:rsidR="00D00ACF" w:rsidRPr="00671C1E">
        <w:rPr>
          <w:rFonts w:ascii="Times New Roman" w:hAnsi="Times New Roman" w:cs="Times New Roman"/>
          <w:sz w:val="24"/>
          <w:szCs w:val="24"/>
        </w:rPr>
        <w:t>56,8 тыс. руб.к</w:t>
      </w:r>
      <w:r w:rsidRPr="00671C1E">
        <w:rPr>
          <w:rFonts w:ascii="Times New Roman" w:hAnsi="Times New Roman" w:cs="Times New Roman"/>
          <w:sz w:val="24"/>
          <w:szCs w:val="24"/>
        </w:rPr>
        <w:t xml:space="preserve"> запланированному  2019 год. На 2021 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и 2022 годы планируется также на уровне 2020 года, или в сумме  290, </w:t>
      </w:r>
      <w:r w:rsidRPr="00671C1E">
        <w:rPr>
          <w:rFonts w:ascii="Times New Roman" w:hAnsi="Times New Roman" w:cs="Times New Roman"/>
          <w:sz w:val="24"/>
          <w:szCs w:val="24"/>
        </w:rPr>
        <w:t>0 тыс. рублей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Pr="00671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CF" w:rsidRPr="00671C1E" w:rsidRDefault="00D00ACF" w:rsidP="006B6F7C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 xml:space="preserve">Удельный вес дохода в 2020 году составит 32,3 % от суммы предполагаемых собственных доходов. </w:t>
      </w:r>
    </w:p>
    <w:p w:rsidR="00D00ACF" w:rsidRPr="00671C1E" w:rsidRDefault="006B6F7C" w:rsidP="006B6F7C">
      <w:pPr>
        <w:pBdr>
          <w:bottom w:val="single" w:sz="12" w:space="2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 xml:space="preserve">- </w:t>
      </w:r>
      <w:r w:rsidRPr="00671C1E">
        <w:rPr>
          <w:rFonts w:ascii="Times New Roman" w:hAnsi="Times New Roman" w:cs="Times New Roman"/>
          <w:b/>
          <w:sz w:val="24"/>
          <w:szCs w:val="24"/>
        </w:rPr>
        <w:t>доходы от сдачи в аренду имущества, находящегося в оперативном управлении органов управления поселений</w:t>
      </w:r>
      <w:r w:rsidRPr="00671C1E">
        <w:rPr>
          <w:rFonts w:ascii="Times New Roman" w:hAnsi="Times New Roman" w:cs="Times New Roman"/>
          <w:sz w:val="24"/>
          <w:szCs w:val="24"/>
        </w:rPr>
        <w:t xml:space="preserve">  на 2020 год 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 планируется на уровне  утвержденного , равно  ожидаемо</w:t>
      </w:r>
      <w:r w:rsidR="00703C60" w:rsidRPr="00671C1E">
        <w:rPr>
          <w:rFonts w:ascii="Times New Roman" w:hAnsi="Times New Roman" w:cs="Times New Roman"/>
          <w:sz w:val="24"/>
          <w:szCs w:val="24"/>
        </w:rPr>
        <w:t>го,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  поступлени</w:t>
      </w:r>
      <w:r w:rsidR="00703C60" w:rsidRPr="00671C1E">
        <w:rPr>
          <w:rFonts w:ascii="Times New Roman" w:hAnsi="Times New Roman" w:cs="Times New Roman"/>
          <w:sz w:val="24"/>
          <w:szCs w:val="24"/>
        </w:rPr>
        <w:t>я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 за  2019 год  в </w:t>
      </w:r>
      <w:r w:rsidRPr="00671C1E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 по </w:t>
      </w:r>
      <w:r w:rsidRPr="00671C1E">
        <w:rPr>
          <w:rFonts w:ascii="Times New Roman" w:hAnsi="Times New Roman" w:cs="Times New Roman"/>
          <w:sz w:val="24"/>
          <w:szCs w:val="24"/>
        </w:rPr>
        <w:t xml:space="preserve">13,0 тыс. рублей </w:t>
      </w:r>
      <w:r w:rsidR="00D00ACF" w:rsidRPr="00671C1E">
        <w:rPr>
          <w:rFonts w:ascii="Times New Roman" w:hAnsi="Times New Roman" w:cs="Times New Roman"/>
          <w:sz w:val="24"/>
          <w:szCs w:val="24"/>
        </w:rPr>
        <w:t xml:space="preserve"> ежегодно. </w:t>
      </w:r>
    </w:p>
    <w:p w:rsidR="00D00ACF" w:rsidRPr="00671C1E" w:rsidRDefault="00D00ACF" w:rsidP="00671C1E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>Удельный вес дохода в 2020 году составит 1,4 % от суммы предполагаемых собственных доходов.</w:t>
      </w:r>
    </w:p>
    <w:p w:rsidR="006B6F7C" w:rsidRPr="00671C1E" w:rsidRDefault="006B6F7C" w:rsidP="00671C1E">
      <w:pPr>
        <w:pBdr>
          <w:bottom w:val="single" w:sz="12" w:space="21" w:color="auto"/>
        </w:pBd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 xml:space="preserve">- </w:t>
      </w:r>
      <w:r w:rsidRPr="00671C1E">
        <w:rPr>
          <w:rFonts w:ascii="Times New Roman" w:hAnsi="Times New Roman" w:cs="Times New Roman"/>
          <w:b/>
          <w:sz w:val="24"/>
          <w:szCs w:val="24"/>
        </w:rPr>
        <w:t>прочие поступления, от использования имущества, находящегося в собственности сельских поселений</w:t>
      </w:r>
      <w:r w:rsidRPr="00671C1E">
        <w:rPr>
          <w:rFonts w:ascii="Times New Roman" w:hAnsi="Times New Roman" w:cs="Times New Roman"/>
          <w:sz w:val="24"/>
          <w:szCs w:val="24"/>
        </w:rPr>
        <w:t xml:space="preserve"> </w:t>
      </w:r>
      <w:r w:rsidR="00703C60" w:rsidRPr="00671C1E">
        <w:rPr>
          <w:rFonts w:ascii="Times New Roman" w:hAnsi="Times New Roman" w:cs="Times New Roman"/>
          <w:sz w:val="24"/>
          <w:szCs w:val="24"/>
        </w:rPr>
        <w:t xml:space="preserve"> планируется также  на уровне запланированного  и ожидаемого объема поступления 2019 года </w:t>
      </w:r>
      <w:r w:rsidRPr="00671C1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03C60" w:rsidRPr="00671C1E">
        <w:rPr>
          <w:rFonts w:ascii="Times New Roman" w:hAnsi="Times New Roman" w:cs="Times New Roman"/>
          <w:sz w:val="24"/>
          <w:szCs w:val="24"/>
        </w:rPr>
        <w:t xml:space="preserve"> по </w:t>
      </w:r>
      <w:r w:rsidRPr="00671C1E">
        <w:rPr>
          <w:rFonts w:ascii="Times New Roman" w:hAnsi="Times New Roman" w:cs="Times New Roman"/>
          <w:sz w:val="24"/>
          <w:szCs w:val="24"/>
        </w:rPr>
        <w:t xml:space="preserve">3,0 тыс. рублей </w:t>
      </w:r>
      <w:r w:rsidR="00703C60" w:rsidRPr="00671C1E">
        <w:rPr>
          <w:rFonts w:ascii="Times New Roman" w:hAnsi="Times New Roman" w:cs="Times New Roman"/>
          <w:sz w:val="24"/>
          <w:szCs w:val="24"/>
        </w:rPr>
        <w:t>ежегодно .</w:t>
      </w:r>
    </w:p>
    <w:p w:rsidR="00703C60" w:rsidRPr="00671C1E" w:rsidRDefault="006B6F7C" w:rsidP="00671C1E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 xml:space="preserve">- </w:t>
      </w:r>
      <w:r w:rsidRPr="00671C1E">
        <w:rPr>
          <w:rFonts w:ascii="Times New Roman" w:hAnsi="Times New Roman" w:cs="Times New Roman"/>
          <w:b/>
          <w:sz w:val="24"/>
          <w:szCs w:val="24"/>
        </w:rPr>
        <w:t xml:space="preserve">доходы от оказания платных услуг  </w:t>
      </w:r>
      <w:r w:rsidRPr="00671C1E">
        <w:rPr>
          <w:rFonts w:ascii="Times New Roman" w:hAnsi="Times New Roman" w:cs="Times New Roman"/>
          <w:sz w:val="24"/>
          <w:szCs w:val="24"/>
        </w:rPr>
        <w:t>на 2020 год</w:t>
      </w:r>
      <w:r w:rsidRPr="00671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C1E" w:rsidRPr="00671C1E">
        <w:rPr>
          <w:rFonts w:ascii="Times New Roman" w:hAnsi="Times New Roman" w:cs="Times New Roman"/>
          <w:b/>
          <w:sz w:val="24"/>
          <w:szCs w:val="24"/>
        </w:rPr>
        <w:t xml:space="preserve">планируется  </w:t>
      </w:r>
      <w:r w:rsidRPr="00671C1E">
        <w:rPr>
          <w:rFonts w:ascii="Times New Roman" w:hAnsi="Times New Roman" w:cs="Times New Roman"/>
          <w:sz w:val="24"/>
          <w:szCs w:val="24"/>
        </w:rPr>
        <w:t xml:space="preserve">в сумме 95,0 тыс. рублей </w:t>
      </w:r>
      <w:r w:rsidR="00703C60" w:rsidRPr="00671C1E">
        <w:rPr>
          <w:rFonts w:ascii="Times New Roman" w:hAnsi="Times New Roman" w:cs="Times New Roman"/>
          <w:sz w:val="24"/>
          <w:szCs w:val="24"/>
        </w:rPr>
        <w:t xml:space="preserve">, что ниже  ожидаемого  поступления 2019 года на 2,0 тыс. руб. </w:t>
      </w:r>
    </w:p>
    <w:p w:rsidR="006B6F7C" w:rsidRPr="00671C1E" w:rsidRDefault="00703C60" w:rsidP="00671C1E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 xml:space="preserve">На  плановый период </w:t>
      </w:r>
      <w:r w:rsidR="006B6F7C" w:rsidRPr="00671C1E">
        <w:rPr>
          <w:rFonts w:ascii="Times New Roman" w:hAnsi="Times New Roman" w:cs="Times New Roman"/>
          <w:sz w:val="24"/>
          <w:szCs w:val="24"/>
        </w:rPr>
        <w:t xml:space="preserve"> 2021 год</w:t>
      </w:r>
      <w:r w:rsidRPr="00671C1E">
        <w:rPr>
          <w:rFonts w:ascii="Times New Roman" w:hAnsi="Times New Roman" w:cs="Times New Roman"/>
          <w:sz w:val="24"/>
          <w:szCs w:val="24"/>
        </w:rPr>
        <w:t xml:space="preserve"> и 2022 год планируется также по 95,0 тыс. руб. ежегодно.</w:t>
      </w:r>
      <w:r w:rsidR="006B6F7C" w:rsidRPr="00671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1E" w:rsidRPr="00671C1E" w:rsidRDefault="00180659" w:rsidP="00671C1E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1E">
        <w:rPr>
          <w:rFonts w:ascii="Times New Roman" w:hAnsi="Times New Roman" w:cs="Times New Roman"/>
          <w:sz w:val="24"/>
          <w:szCs w:val="24"/>
        </w:rPr>
        <w:t xml:space="preserve">Удельный вес  неналоговых доходов в общем объеме собственных доходов  в  2020 году составит </w:t>
      </w:r>
      <w:r w:rsidR="00671C1E" w:rsidRPr="00671C1E">
        <w:rPr>
          <w:rFonts w:ascii="Times New Roman" w:hAnsi="Times New Roman" w:cs="Times New Roman"/>
          <w:sz w:val="24"/>
          <w:szCs w:val="24"/>
        </w:rPr>
        <w:t>44,7</w:t>
      </w:r>
      <w:r w:rsidRPr="00671C1E">
        <w:rPr>
          <w:rFonts w:ascii="Times New Roman" w:hAnsi="Times New Roman" w:cs="Times New Roman"/>
          <w:sz w:val="24"/>
          <w:szCs w:val="24"/>
        </w:rPr>
        <w:t xml:space="preserve"> %, в 2021 году- </w:t>
      </w:r>
      <w:r w:rsidR="00671C1E" w:rsidRPr="00671C1E">
        <w:rPr>
          <w:rFonts w:ascii="Times New Roman" w:hAnsi="Times New Roman" w:cs="Times New Roman"/>
          <w:sz w:val="24"/>
          <w:szCs w:val="24"/>
        </w:rPr>
        <w:t>44,4</w:t>
      </w:r>
      <w:r w:rsidRPr="00671C1E">
        <w:rPr>
          <w:rFonts w:ascii="Times New Roman" w:hAnsi="Times New Roman" w:cs="Times New Roman"/>
          <w:sz w:val="24"/>
          <w:szCs w:val="24"/>
        </w:rPr>
        <w:t xml:space="preserve">%, в 2022 году- </w:t>
      </w:r>
      <w:r w:rsidR="00671C1E" w:rsidRPr="00671C1E">
        <w:rPr>
          <w:rFonts w:ascii="Times New Roman" w:hAnsi="Times New Roman" w:cs="Times New Roman"/>
          <w:sz w:val="24"/>
          <w:szCs w:val="24"/>
        </w:rPr>
        <w:t>45,0</w:t>
      </w:r>
      <w:r w:rsidRPr="00671C1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80659" w:rsidRPr="00C961F6" w:rsidRDefault="00180659" w:rsidP="003A7B8B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1F6">
        <w:rPr>
          <w:rFonts w:ascii="Times New Roman" w:eastAsia="Calibri" w:hAnsi="Times New Roman" w:cs="Times New Roman"/>
          <w:b/>
          <w:sz w:val="24"/>
          <w:szCs w:val="24"/>
        </w:rPr>
        <w:t xml:space="preserve">Безвозмездные поступления </w:t>
      </w:r>
      <w:r w:rsidRPr="00C961F6">
        <w:rPr>
          <w:rFonts w:ascii="Times New Roman" w:eastAsia="Calibri" w:hAnsi="Times New Roman" w:cs="Times New Roman"/>
          <w:sz w:val="24"/>
          <w:szCs w:val="24"/>
        </w:rPr>
        <w:t>из бюджета Ибресинского района  на  2020 год прогнозируются в сумме</w:t>
      </w:r>
      <w:r w:rsidR="00671C1E">
        <w:rPr>
          <w:rFonts w:ascii="Times New Roman" w:eastAsia="Calibri" w:hAnsi="Times New Roman" w:cs="Times New Roman"/>
          <w:sz w:val="24"/>
          <w:szCs w:val="24"/>
        </w:rPr>
        <w:t>1958,0</w:t>
      </w:r>
      <w:r w:rsidRPr="00C961F6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C961F6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671C1E">
        <w:rPr>
          <w:rFonts w:ascii="Times New Roman" w:hAnsi="Times New Roman" w:cs="Times New Roman"/>
          <w:sz w:val="24"/>
          <w:szCs w:val="24"/>
        </w:rPr>
        <w:t>30,7</w:t>
      </w:r>
      <w:r w:rsidRPr="00C961F6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C961F6">
        <w:rPr>
          <w:rFonts w:ascii="Times New Roman" w:hAnsi="Times New Roman" w:cs="Times New Roman"/>
          <w:sz w:val="24"/>
          <w:szCs w:val="24"/>
        </w:rPr>
        <w:t xml:space="preserve">%  ниже запланированного уровня 2019 года. На  2021 год планируется  </w:t>
      </w:r>
      <w:r w:rsidRPr="00C96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C1E">
        <w:rPr>
          <w:rFonts w:ascii="Times New Roman" w:eastAsia="Calibri" w:hAnsi="Times New Roman" w:cs="Times New Roman"/>
          <w:sz w:val="24"/>
          <w:szCs w:val="24"/>
        </w:rPr>
        <w:t>1517,6</w:t>
      </w:r>
      <w:r w:rsidRPr="00C961F6">
        <w:rPr>
          <w:rFonts w:ascii="Times New Roman" w:eastAsia="Calibri" w:hAnsi="Times New Roman" w:cs="Times New Roman"/>
          <w:sz w:val="24"/>
          <w:szCs w:val="24"/>
        </w:rPr>
        <w:t xml:space="preserve"> тыс. рублей, на 2022 год – </w:t>
      </w:r>
      <w:r w:rsidR="00BB74EF">
        <w:rPr>
          <w:rFonts w:ascii="Times New Roman" w:eastAsia="Calibri" w:hAnsi="Times New Roman" w:cs="Times New Roman"/>
          <w:sz w:val="24"/>
          <w:szCs w:val="24"/>
        </w:rPr>
        <w:t>1720,8</w:t>
      </w:r>
      <w:r w:rsidRPr="00C961F6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3A7B8B" w:rsidRDefault="008D0B29" w:rsidP="003A7B8B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C961F6">
        <w:rPr>
          <w:rFonts w:ascii="Times New Roman" w:hAnsi="Times New Roman" w:cs="Times New Roman"/>
          <w:sz w:val="24"/>
          <w:szCs w:val="24"/>
          <w:u w:val="single"/>
        </w:rPr>
        <w:t>безвозмездных поступлений</w:t>
      </w:r>
      <w:r w:rsidRPr="00C961F6">
        <w:rPr>
          <w:rFonts w:ascii="Times New Roman" w:hAnsi="Times New Roman" w:cs="Times New Roman"/>
          <w:sz w:val="24"/>
          <w:szCs w:val="24"/>
        </w:rPr>
        <w:t xml:space="preserve"> планируются: </w:t>
      </w:r>
    </w:p>
    <w:p w:rsidR="00BB74EF" w:rsidRPr="00BB74EF" w:rsidRDefault="00BB74EF" w:rsidP="00BB74EF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74EF">
        <w:rPr>
          <w:rFonts w:ascii="Times New Roman" w:hAnsi="Times New Roman" w:cs="Times New Roman"/>
          <w:sz w:val="24"/>
          <w:szCs w:val="24"/>
        </w:rPr>
        <w:t xml:space="preserve">- </w:t>
      </w:r>
      <w:r w:rsidRPr="00BB74EF">
        <w:rPr>
          <w:rFonts w:ascii="Times New Roman" w:hAnsi="Times New Roman" w:cs="Times New Roman"/>
          <w:b/>
          <w:sz w:val="24"/>
          <w:szCs w:val="24"/>
        </w:rPr>
        <w:t>дотации на выравнивание бюджетной обеспеченности</w:t>
      </w:r>
      <w:r w:rsidRPr="00BB74EF">
        <w:rPr>
          <w:rFonts w:ascii="Times New Roman" w:hAnsi="Times New Roman" w:cs="Times New Roman"/>
          <w:sz w:val="24"/>
          <w:szCs w:val="24"/>
        </w:rPr>
        <w:t xml:space="preserve">  на 2020 год в сумме   737,0 тыс. рублей или 37,6% от общей суммы предполагаемых безвозмездных поступлений, на 2021 год – 647,0 тыс. рублей, на 2022 год- 624,0 тыс. рублей.</w:t>
      </w:r>
    </w:p>
    <w:p w:rsidR="00BB74EF" w:rsidRPr="00BB74EF" w:rsidRDefault="00BB74EF" w:rsidP="00BB74EF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74EF">
        <w:rPr>
          <w:rFonts w:ascii="Times New Roman" w:hAnsi="Times New Roman" w:cs="Times New Roman"/>
          <w:sz w:val="24"/>
          <w:szCs w:val="24"/>
        </w:rPr>
        <w:t xml:space="preserve">- </w:t>
      </w:r>
      <w:r w:rsidRPr="00BB74EF">
        <w:rPr>
          <w:rFonts w:ascii="Times New Roman" w:hAnsi="Times New Roman" w:cs="Times New Roman"/>
          <w:b/>
          <w:sz w:val="24"/>
          <w:szCs w:val="24"/>
        </w:rPr>
        <w:t>дотации на поддержку мер по обеспечению сбалансированности бюджетов</w:t>
      </w:r>
      <w:r w:rsidRPr="00BB74EF">
        <w:rPr>
          <w:rFonts w:ascii="Times New Roman" w:hAnsi="Times New Roman" w:cs="Times New Roman"/>
          <w:sz w:val="24"/>
          <w:szCs w:val="24"/>
        </w:rPr>
        <w:t xml:space="preserve">  на 2020 год в сумме 650,0 тыс. рублей или 33,2% от общей суммы предполагаемых безвозмездных поступлений, на 2021 год – 300,0 тыс. рублей, на 2022 год- 300,0 тыс. рублей.</w:t>
      </w:r>
    </w:p>
    <w:p w:rsidR="00BB74EF" w:rsidRPr="00BB74EF" w:rsidRDefault="00BB74EF" w:rsidP="00BB74EF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74EF">
        <w:rPr>
          <w:rFonts w:ascii="Times New Roman" w:hAnsi="Times New Roman" w:cs="Times New Roman"/>
          <w:sz w:val="24"/>
          <w:szCs w:val="24"/>
        </w:rPr>
        <w:t xml:space="preserve">- </w:t>
      </w:r>
      <w:r w:rsidRPr="00BB74EF">
        <w:rPr>
          <w:rFonts w:ascii="Times New Roman" w:hAnsi="Times New Roman" w:cs="Times New Roman"/>
          <w:b/>
          <w:sz w:val="24"/>
          <w:szCs w:val="24"/>
        </w:rPr>
        <w:t>субсидии бюджетам поселений</w:t>
      </w:r>
      <w:r w:rsidRPr="00BB74EF">
        <w:rPr>
          <w:rFonts w:ascii="Times New Roman" w:hAnsi="Times New Roman" w:cs="Times New Roman"/>
          <w:sz w:val="24"/>
          <w:szCs w:val="24"/>
        </w:rPr>
        <w:t xml:space="preserve">  на 2020 год в сумме 481,7 тыс. рублей или 24,6% от общей суммы предполагаемых безвозмездных поступлений, на 2021 год- 480,5 тыс. рублей, на 2022 год – 703,0 тыс. рублей. В составе субсидий прогнозируются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</w:p>
    <w:p w:rsidR="00BB74EF" w:rsidRPr="00BB74EF" w:rsidRDefault="00BB74EF" w:rsidP="00BB74EF">
      <w:pPr>
        <w:pBdr>
          <w:bottom w:val="single" w:sz="12" w:space="21" w:color="auto"/>
        </w:pBd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B74EF">
        <w:rPr>
          <w:rFonts w:ascii="Times New Roman" w:hAnsi="Times New Roman" w:cs="Times New Roman"/>
          <w:sz w:val="24"/>
          <w:szCs w:val="24"/>
        </w:rPr>
        <w:t xml:space="preserve">- </w:t>
      </w:r>
      <w:r w:rsidRPr="00BB74EF">
        <w:rPr>
          <w:rFonts w:ascii="Times New Roman" w:hAnsi="Times New Roman" w:cs="Times New Roman"/>
          <w:b/>
          <w:sz w:val="24"/>
          <w:szCs w:val="24"/>
        </w:rPr>
        <w:t>субвенции</w:t>
      </w:r>
      <w:r w:rsidRPr="00BB74EF">
        <w:rPr>
          <w:rFonts w:ascii="Times New Roman" w:hAnsi="Times New Roman" w:cs="Times New Roman"/>
          <w:sz w:val="24"/>
          <w:szCs w:val="24"/>
        </w:rPr>
        <w:t xml:space="preserve">  на 2020 год в сумме 89,3 тыс. рублей или 4,6 % от общей суммы предполагаемых безвозмездных поступлений, на 2021 год – 90,1 тыс. рублей, на 2022 год- 93,8 тыс. рублей. В составе субвенций прогнозируются субвенции на осуществление первичного воинского учета на территориях, где отсутствуют военные комиссариаты.</w:t>
      </w:r>
    </w:p>
    <w:p w:rsidR="00180659" w:rsidRPr="00C961F6" w:rsidRDefault="00180659" w:rsidP="00BB74EF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Удельный вес  безвозмездных поступлений  в общем объеме доходов  в  2020 году составит 74,5 %, в 2021 году - 73,0%, в 2022 году- 75,5 %. </w:t>
      </w:r>
    </w:p>
    <w:p w:rsidR="00632E2D" w:rsidRPr="00C961F6" w:rsidRDefault="00632E2D" w:rsidP="00C961F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632E2D" w:rsidRPr="004D077F" w:rsidRDefault="00BF3190" w:rsidP="00632E2D">
      <w:pPr>
        <w:pBdr>
          <w:bottom w:val="single" w:sz="12" w:space="2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41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71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7139F1" w:rsidRPr="004D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="0072235B" w:rsidRPr="004D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2E2D" w:rsidRPr="004D077F" w:rsidRDefault="00632E2D" w:rsidP="00632E2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B4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E0F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C7E0F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соответствует основным приоритетным направлениям развития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постановлению администрации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634331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7D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4331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B41C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A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D1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направлениях бюджетной политики 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направлены на 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стабильного социально-экономического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0902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B6F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902" w:rsidRDefault="00E07A83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9C0902" w:rsidRDefault="009C0902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расходные обязательства, запланированные в проекте бюджета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9C0902" w:rsidRDefault="0072235B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="00083983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показателями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меньшатся на </w:t>
      </w:r>
      <w:r w:rsidR="006517F4">
        <w:rPr>
          <w:rFonts w:ascii="Times New Roman" w:eastAsia="Times New Roman" w:hAnsi="Times New Roman" w:cs="Times New Roman"/>
          <w:sz w:val="24"/>
          <w:szCs w:val="24"/>
          <w:lang w:eastAsia="ru-RU"/>
        </w:rPr>
        <w:t>23,4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или </w:t>
      </w:r>
      <w:r w:rsidR="006517F4">
        <w:rPr>
          <w:rFonts w:ascii="Times New Roman" w:eastAsia="Times New Roman" w:hAnsi="Times New Roman" w:cs="Times New Roman"/>
          <w:sz w:val="24"/>
          <w:szCs w:val="24"/>
          <w:lang w:eastAsia="ru-RU"/>
        </w:rPr>
        <w:t>870,7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составят </w:t>
      </w:r>
      <w:r w:rsidR="006517F4">
        <w:rPr>
          <w:rFonts w:ascii="Times New Roman" w:eastAsia="Times New Roman" w:hAnsi="Times New Roman" w:cs="Times New Roman"/>
          <w:sz w:val="24"/>
          <w:szCs w:val="24"/>
          <w:lang w:eastAsia="ru-RU"/>
        </w:rPr>
        <w:t>2854,7</w:t>
      </w:r>
      <w:r w:rsidR="006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  На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517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2218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434,3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составят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2420,4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9C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предыдущего года на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211,0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8,7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. Сумма расходов прогнозируется в 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2631,4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5B5B25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</w:t>
      </w:r>
      <w:r w:rsidRP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данными:</w:t>
      </w:r>
    </w:p>
    <w:tbl>
      <w:tblPr>
        <w:tblStyle w:val="1"/>
        <w:tblW w:w="9781" w:type="dxa"/>
        <w:tblInd w:w="108" w:type="dxa"/>
        <w:tblLayout w:type="fixed"/>
        <w:tblLook w:val="01E0"/>
      </w:tblPr>
      <w:tblGrid>
        <w:gridCol w:w="2127"/>
        <w:gridCol w:w="567"/>
        <w:gridCol w:w="1134"/>
        <w:gridCol w:w="992"/>
        <w:gridCol w:w="1134"/>
        <w:gridCol w:w="992"/>
        <w:gridCol w:w="992"/>
        <w:gridCol w:w="851"/>
        <w:gridCol w:w="992"/>
      </w:tblGrid>
      <w:tr w:rsidR="00510BD8" w:rsidRPr="00A322B9" w:rsidTr="008A219F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2019 год (решение о бюджете), тыс. руб.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Проект бюджета на:</w:t>
            </w:r>
          </w:p>
        </w:tc>
      </w:tr>
      <w:tr w:rsidR="00510BD8" w:rsidRPr="00A322B9" w:rsidTr="008A219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2022 год</w:t>
            </w:r>
          </w:p>
        </w:tc>
      </w:tr>
      <w:tr w:rsidR="00510BD8" w:rsidRPr="00A322B9" w:rsidTr="008A219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083983" w:rsidRDefault="0029558F" w:rsidP="00852F64">
            <w:pPr>
              <w:jc w:val="both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558F" w:rsidRPr="00A322B9" w:rsidTr="008A219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083983" w:rsidRDefault="0029558F" w:rsidP="00852F64">
            <w:pPr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A322B9" w:rsidRDefault="0029558F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A322B9" w:rsidRDefault="0029558F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9C0902" w:rsidRDefault="0029558F" w:rsidP="00852F64">
            <w:pPr>
              <w:jc w:val="both"/>
              <w:rPr>
                <w:sz w:val="24"/>
                <w:szCs w:val="24"/>
              </w:rPr>
            </w:pPr>
            <w:r w:rsidRPr="009C0902">
              <w:rPr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9C0902" w:rsidRDefault="0029558F" w:rsidP="009C0902">
            <w:pPr>
              <w:jc w:val="right"/>
              <w:rPr>
                <w:sz w:val="24"/>
                <w:szCs w:val="24"/>
              </w:rPr>
            </w:pPr>
            <w:r w:rsidRPr="009C090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A322B9" w:rsidRDefault="0029558F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A322B9" w:rsidRDefault="0029558F" w:rsidP="0029558F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A322B9" w:rsidRDefault="0029558F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3A7B8B" w:rsidRDefault="0029558F" w:rsidP="00852F64">
            <w:pPr>
              <w:jc w:val="both"/>
              <w:rPr>
                <w:sz w:val="24"/>
                <w:szCs w:val="24"/>
              </w:rPr>
            </w:pPr>
            <w:r w:rsidRPr="003A7B8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A322B9" w:rsidRDefault="0029558F" w:rsidP="00852F6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9558F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A322B9" w:rsidRDefault="0029558F" w:rsidP="0029558F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 xml:space="preserve">Условно </w:t>
            </w:r>
            <w:proofErr w:type="spellStart"/>
            <w:r w:rsidRPr="00A322B9">
              <w:rPr>
                <w:sz w:val="24"/>
                <w:szCs w:val="24"/>
              </w:rPr>
              <w:t>утверж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22B9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A322B9" w:rsidRDefault="0029558F" w:rsidP="00852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558F" w:rsidRPr="00083983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Pr="00083983" w:rsidRDefault="0029558F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F" w:rsidRDefault="002955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510BD8" w:rsidRDefault="00510BD8" w:rsidP="00510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426DA9" w:rsidP="00974E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сохранятся на уровне 2019 года и 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306,2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426DA9" w:rsidP="00974E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по данному разделу на плановый период 2021 и 2021 годы прогнозируются 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1067,1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 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005,8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974E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45,8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– 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44,1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F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>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1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13F" w:rsidRDefault="00B72976" w:rsidP="00F72B3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3F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Pr="0030713F">
        <w:rPr>
          <w:rFonts w:ascii="Times New Roman" w:hAnsi="Times New Roman" w:cs="Times New Roman"/>
          <w:b/>
          <w:sz w:val="24"/>
          <w:szCs w:val="24"/>
        </w:rPr>
        <w:t xml:space="preserve"> 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10BD8" w:rsidRPr="0030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 на 2020 год в сумме </w:t>
      </w:r>
      <w:r w:rsidR="00F72B31">
        <w:rPr>
          <w:rFonts w:ascii="Times New Roman" w:hAnsi="Times New Roman" w:cs="Times New Roman"/>
          <w:sz w:val="24"/>
          <w:szCs w:val="24"/>
        </w:rPr>
        <w:t>879,1</w:t>
      </w:r>
      <w:r w:rsidR="005312A6">
        <w:rPr>
          <w:rFonts w:ascii="Times New Roman" w:hAnsi="Times New Roman" w:cs="Times New Roman"/>
          <w:sz w:val="24"/>
          <w:szCs w:val="24"/>
        </w:rPr>
        <w:t xml:space="preserve"> </w:t>
      </w:r>
      <w:r w:rsidR="00510BD8" w:rsidRPr="0030713F">
        <w:rPr>
          <w:rFonts w:ascii="Times New Roman" w:hAnsi="Times New Roman" w:cs="Times New Roman"/>
          <w:sz w:val="24"/>
          <w:szCs w:val="24"/>
        </w:rPr>
        <w:t>тыс. рублей</w:t>
      </w:r>
      <w:r w:rsidR="00CF29D8">
        <w:rPr>
          <w:rFonts w:ascii="Times New Roman" w:hAnsi="Times New Roman" w:cs="Times New Roman"/>
          <w:sz w:val="24"/>
          <w:szCs w:val="24"/>
        </w:rPr>
        <w:t>,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 или </w:t>
      </w:r>
      <w:r w:rsidR="00F72B31">
        <w:rPr>
          <w:rFonts w:ascii="Times New Roman" w:hAnsi="Times New Roman" w:cs="Times New Roman"/>
          <w:sz w:val="24"/>
          <w:szCs w:val="24"/>
        </w:rPr>
        <w:t>139,2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% от </w:t>
      </w:r>
      <w:r w:rsidR="00F72B31">
        <w:rPr>
          <w:rFonts w:ascii="Times New Roman" w:hAnsi="Times New Roman" w:cs="Times New Roman"/>
          <w:sz w:val="24"/>
          <w:szCs w:val="24"/>
        </w:rPr>
        <w:t xml:space="preserve">утвержденной величины на 2019 год. </w:t>
      </w:r>
      <w:r w:rsidR="00422FF1">
        <w:rPr>
          <w:rFonts w:ascii="Times New Roman" w:hAnsi="Times New Roman" w:cs="Times New Roman"/>
          <w:sz w:val="24"/>
          <w:szCs w:val="24"/>
        </w:rPr>
        <w:t>Расходы  бюджета н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а 2021 год </w:t>
      </w:r>
      <w:r w:rsidR="00422FF1">
        <w:rPr>
          <w:rFonts w:ascii="Times New Roman" w:hAnsi="Times New Roman" w:cs="Times New Roman"/>
          <w:sz w:val="24"/>
          <w:szCs w:val="24"/>
        </w:rPr>
        <w:t xml:space="preserve">прогнозируются в сумме </w:t>
      </w:r>
      <w:r w:rsidR="00F72B31">
        <w:rPr>
          <w:rFonts w:ascii="Times New Roman" w:hAnsi="Times New Roman" w:cs="Times New Roman"/>
          <w:sz w:val="24"/>
          <w:szCs w:val="24"/>
        </w:rPr>
        <w:t>875,1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тыс. </w:t>
      </w:r>
      <w:r w:rsidR="00510BD8" w:rsidRPr="005B5B25">
        <w:rPr>
          <w:rFonts w:ascii="Times New Roman" w:hAnsi="Times New Roman" w:cs="Times New Roman"/>
          <w:sz w:val="24"/>
          <w:szCs w:val="24"/>
        </w:rPr>
        <w:t xml:space="preserve">рублей, на 2022 год – </w:t>
      </w:r>
      <w:r w:rsidR="00F72B31">
        <w:rPr>
          <w:rFonts w:ascii="Times New Roman" w:hAnsi="Times New Roman" w:cs="Times New Roman"/>
          <w:sz w:val="24"/>
          <w:szCs w:val="24"/>
        </w:rPr>
        <w:t>875,1</w:t>
      </w:r>
      <w:r w:rsidR="00510BD8" w:rsidRPr="005B5B2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22FF1" w:rsidRDefault="00422FF1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расходов в 2020 году составит  30,7 %  общей суммы прогнозируемых расходов.</w:t>
      </w:r>
    </w:p>
    <w:p w:rsidR="00422FF1" w:rsidRDefault="00B72976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 </w:t>
      </w:r>
      <w:r w:rsidRPr="005B5B25">
        <w:rPr>
          <w:rFonts w:ascii="Times New Roman" w:hAnsi="Times New Roman" w:cs="Times New Roman"/>
          <w:b/>
          <w:sz w:val="24"/>
          <w:szCs w:val="24"/>
        </w:rPr>
        <w:t xml:space="preserve"> «Резервные фонды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 Согласно статье 81 Бюджетного кодекса Российской Федерации </w:t>
      </w:r>
      <w:bookmarkStart w:id="0" w:name="sub_812"/>
      <w:r w:rsidR="0030713F" w:rsidRPr="005B5B25">
        <w:rPr>
          <w:rFonts w:ascii="Times New Roman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422FF1">
        <w:rPr>
          <w:rFonts w:ascii="Times New Roman" w:hAnsi="Times New Roman" w:cs="Times New Roman"/>
          <w:sz w:val="24"/>
          <w:szCs w:val="24"/>
        </w:rPr>
        <w:t xml:space="preserve">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ассигнования на 2020 год в размере </w:t>
      </w:r>
      <w:r w:rsidR="00422FF1">
        <w:rPr>
          <w:rFonts w:ascii="Times New Roman" w:hAnsi="Times New Roman" w:cs="Times New Roman"/>
          <w:sz w:val="24"/>
          <w:szCs w:val="24"/>
        </w:rPr>
        <w:t>10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,0 тыс. рублей, на 2021 год – </w:t>
      </w:r>
      <w:r w:rsidR="00422FF1">
        <w:rPr>
          <w:rFonts w:ascii="Times New Roman" w:hAnsi="Times New Roman" w:cs="Times New Roman"/>
          <w:sz w:val="24"/>
          <w:szCs w:val="24"/>
        </w:rPr>
        <w:t>10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,0 тыс. рублей, на 2022 год – </w:t>
      </w:r>
      <w:r w:rsidR="00422FF1">
        <w:rPr>
          <w:rFonts w:ascii="Times New Roman" w:hAnsi="Times New Roman" w:cs="Times New Roman"/>
          <w:sz w:val="24"/>
          <w:szCs w:val="24"/>
        </w:rPr>
        <w:t>10</w:t>
      </w:r>
      <w:r w:rsidR="0030713F" w:rsidRPr="005B5B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422FF1" w:rsidRDefault="00B72976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" </w:t>
      </w:r>
      <w:r w:rsidRPr="005312A6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 w:rsidRPr="005B5B25">
        <w:rPr>
          <w:rFonts w:ascii="Times New Roman" w:hAnsi="Times New Roman" w:cs="Times New Roman"/>
          <w:sz w:val="24"/>
          <w:szCs w:val="24"/>
        </w:rPr>
        <w:t xml:space="preserve">"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предусмотрены на обеспечение реализации муниципальной программы "Развитие потенциала муниципального управления" на содержание административно-хозяйственного персонала на 2020 год в размере </w:t>
      </w:r>
      <w:r w:rsidR="00422FF1">
        <w:rPr>
          <w:rFonts w:ascii="Times New Roman" w:hAnsi="Times New Roman" w:cs="Times New Roman"/>
          <w:sz w:val="24"/>
          <w:szCs w:val="24"/>
        </w:rPr>
        <w:t>417,9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F29D8">
        <w:rPr>
          <w:rFonts w:ascii="Times New Roman" w:hAnsi="Times New Roman" w:cs="Times New Roman"/>
          <w:sz w:val="24"/>
          <w:szCs w:val="24"/>
        </w:rPr>
        <w:t>,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или </w:t>
      </w:r>
      <w:r w:rsidR="00422FF1">
        <w:rPr>
          <w:rFonts w:ascii="Times New Roman" w:hAnsi="Times New Roman" w:cs="Times New Roman"/>
          <w:sz w:val="24"/>
          <w:szCs w:val="24"/>
        </w:rPr>
        <w:t>103,3 % к 2019 году(404,1 тыс. руб.) На 20</w:t>
      </w:r>
      <w:r w:rsidR="00CF29D8">
        <w:rPr>
          <w:rFonts w:ascii="Times New Roman" w:hAnsi="Times New Roman" w:cs="Times New Roman"/>
          <w:sz w:val="24"/>
          <w:szCs w:val="24"/>
        </w:rPr>
        <w:t>21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</w:t>
      </w:r>
      <w:r w:rsidR="00CF29D8">
        <w:rPr>
          <w:rFonts w:ascii="Times New Roman" w:hAnsi="Times New Roman" w:cs="Times New Roman"/>
          <w:sz w:val="24"/>
          <w:szCs w:val="24"/>
        </w:rPr>
        <w:t>год</w:t>
      </w:r>
      <w:r w:rsidR="00422FF1">
        <w:rPr>
          <w:rFonts w:ascii="Times New Roman" w:hAnsi="Times New Roman" w:cs="Times New Roman"/>
          <w:sz w:val="24"/>
          <w:szCs w:val="24"/>
        </w:rPr>
        <w:t xml:space="preserve"> предусматривается к утверждению 182,0</w:t>
      </w:r>
      <w:r w:rsidR="00CF29D8">
        <w:rPr>
          <w:rFonts w:ascii="Times New Roman" w:hAnsi="Times New Roman" w:cs="Times New Roman"/>
          <w:sz w:val="24"/>
          <w:szCs w:val="24"/>
        </w:rPr>
        <w:t xml:space="preserve"> тыс. руб., на 2022 год- 1</w:t>
      </w:r>
      <w:r w:rsidR="00422FF1">
        <w:rPr>
          <w:rFonts w:ascii="Times New Roman" w:hAnsi="Times New Roman" w:cs="Times New Roman"/>
          <w:sz w:val="24"/>
          <w:szCs w:val="24"/>
        </w:rPr>
        <w:t>20,7</w:t>
      </w:r>
      <w:r w:rsidR="00CF29D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22FF1">
        <w:rPr>
          <w:rFonts w:ascii="Times New Roman" w:hAnsi="Times New Roman" w:cs="Times New Roman"/>
          <w:sz w:val="24"/>
          <w:szCs w:val="24"/>
        </w:rPr>
        <w:t>. Н</w:t>
      </w:r>
      <w:r w:rsidR="005312A6">
        <w:rPr>
          <w:rFonts w:ascii="Times New Roman" w:hAnsi="Times New Roman" w:cs="Times New Roman"/>
          <w:sz w:val="24"/>
          <w:szCs w:val="24"/>
        </w:rPr>
        <w:t xml:space="preserve">а выполнение других обязательств на 2020 год </w:t>
      </w:r>
      <w:r w:rsidR="00422FF1">
        <w:rPr>
          <w:rFonts w:ascii="Times New Roman" w:hAnsi="Times New Roman" w:cs="Times New Roman"/>
          <w:sz w:val="24"/>
          <w:szCs w:val="24"/>
        </w:rPr>
        <w:t xml:space="preserve">предусматривается выделение бюджетных ассигнований </w:t>
      </w:r>
      <w:r w:rsidR="005312A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439FA">
        <w:rPr>
          <w:rFonts w:ascii="Times New Roman" w:hAnsi="Times New Roman" w:cs="Times New Roman"/>
          <w:sz w:val="24"/>
          <w:szCs w:val="24"/>
        </w:rPr>
        <w:t>2,</w:t>
      </w:r>
      <w:r w:rsidR="00422FF1">
        <w:rPr>
          <w:rFonts w:ascii="Times New Roman" w:hAnsi="Times New Roman" w:cs="Times New Roman"/>
          <w:sz w:val="24"/>
          <w:szCs w:val="24"/>
        </w:rPr>
        <w:t>1</w:t>
      </w:r>
      <w:r w:rsidR="005312A6">
        <w:rPr>
          <w:rFonts w:ascii="Times New Roman" w:hAnsi="Times New Roman" w:cs="Times New Roman"/>
          <w:sz w:val="24"/>
          <w:szCs w:val="24"/>
        </w:rPr>
        <w:t>тыс. руб.</w:t>
      </w:r>
    </w:p>
    <w:p w:rsidR="007F0808" w:rsidRDefault="005312A6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81A08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190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«Национальная оборона» 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бюджетные ассигнования  предусмотрены на 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долгом".В проекте решения на реализацию данной подпрограммы предусмотрены ассигнования на осуществление первичного учета на территориях, где отсутствуют военные комиссариаты на 2020 год в сумме </w:t>
      </w:r>
      <w:r w:rsidR="00A439FA">
        <w:rPr>
          <w:rFonts w:ascii="Times New Roman" w:hAnsi="Times New Roman" w:cs="Times New Roman"/>
          <w:sz w:val="24"/>
          <w:szCs w:val="24"/>
        </w:rPr>
        <w:t>89,3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439FA">
        <w:rPr>
          <w:rFonts w:ascii="Times New Roman" w:hAnsi="Times New Roman" w:cs="Times New Roman"/>
          <w:sz w:val="24"/>
          <w:szCs w:val="24"/>
        </w:rPr>
        <w:t xml:space="preserve">,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или </w:t>
      </w:r>
      <w:r w:rsidR="007F0808">
        <w:rPr>
          <w:rFonts w:ascii="Times New Roman" w:hAnsi="Times New Roman" w:cs="Times New Roman"/>
          <w:sz w:val="24"/>
          <w:szCs w:val="24"/>
        </w:rPr>
        <w:t>3,1</w:t>
      </w:r>
      <w:r w:rsidR="0030713F" w:rsidRPr="005B5B25">
        <w:rPr>
          <w:rFonts w:ascii="Times New Roman" w:hAnsi="Times New Roman" w:cs="Times New Roman"/>
          <w:sz w:val="24"/>
          <w:szCs w:val="24"/>
        </w:rPr>
        <w:t>% от общей суммы прогнозируемых расходов, на 2021 год – 90,1 тыс. рублей, на 2022 год – 93,8 тыс. рублей.</w:t>
      </w:r>
    </w:p>
    <w:p w:rsidR="007F0808" w:rsidRDefault="00BF3190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году составит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в </w:t>
      </w:r>
      <w:r w:rsidR="00F922DD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21923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DA730C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923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5312A6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соответственно.</w:t>
      </w:r>
    </w:p>
    <w:p w:rsidR="007F0808" w:rsidRDefault="00BF3190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бюджетных ассигнований,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в рамках муниципальн</w:t>
      </w:r>
      <w:r w:rsidR="0034443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4443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"Развитие транспортной системы</w:t>
      </w:r>
      <w:r w:rsidR="0030713F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814,4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69,4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утвержденному плану 2019 года. На 2021 год предусматривается выделение средств в сумме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813,2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99,9 %  и предыдущему году, а на 2022 год -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риростом  на 27,4 % в сумме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1035,7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713F" w:rsidRPr="0018122C">
        <w:rPr>
          <w:rFonts w:ascii="Times New Roman" w:hAnsi="Times New Roman" w:cs="Times New Roman"/>
          <w:sz w:val="24"/>
          <w:szCs w:val="24"/>
        </w:rPr>
        <w:t xml:space="preserve"> проекте решения </w:t>
      </w:r>
      <w:r w:rsidR="007F0808">
        <w:rPr>
          <w:rFonts w:ascii="Times New Roman" w:hAnsi="Times New Roman" w:cs="Times New Roman"/>
          <w:sz w:val="24"/>
          <w:szCs w:val="24"/>
        </w:rPr>
        <w:t xml:space="preserve">выделение средств </w:t>
      </w:r>
      <w:r w:rsidR="0030713F" w:rsidRPr="0018122C">
        <w:rPr>
          <w:rFonts w:ascii="Times New Roman" w:hAnsi="Times New Roman" w:cs="Times New Roman"/>
          <w:sz w:val="24"/>
          <w:szCs w:val="24"/>
        </w:rPr>
        <w:t xml:space="preserve">на </w:t>
      </w:r>
      <w:r w:rsidR="0030713F" w:rsidRPr="007F0808">
        <w:rPr>
          <w:rFonts w:ascii="Times New Roman" w:hAnsi="Times New Roman" w:cs="Times New Roman"/>
          <w:sz w:val="24"/>
          <w:szCs w:val="24"/>
        </w:rPr>
        <w:t>реализацию данной подпрограммы предусмотрены на:</w:t>
      </w:r>
    </w:p>
    <w:p w:rsidR="007F0808" w:rsidRDefault="007F0808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08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на 2020 год в сумме 306,6 тыс. рублей или 10,7% от общей суммы прогнозируемых расходов (из них  за счет средств республиканского бюджета на 2020 год в сумме 275,9 тыс. рублей), на 2021 год – 305,2 тыс. рублей (из них  за счет средств республиканского бюджета  в сумме 274,7 тыс. рублей), на 2022 год – 552,4 тыс. рублей  (из них  за счет средств республиканского бюджета в сумме 497,2 тыс. рублей)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0808" w:rsidRDefault="007F0808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08">
        <w:rPr>
          <w:rFonts w:ascii="Times New Roman" w:hAnsi="Times New Roman" w:cs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на 2020 год в сумме 228,7 тыс. рублей или 8,0% от общей суммы прогнозируемых расходов (за счет средств республиканского бюджета в сумме 205,8 тыс. рублей), на 2021 год – 228,7 тыс. рублей (за счет средств республиканского бюджета в сумме 205,8 тыс. рублей), на 2022 год – 228,7 тыс. рублей (за счет средств республиканского бюджета в сумме 205,8 тыс. рублей)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0808" w:rsidRDefault="007F0808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08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159,9 тыс. рублей или 5,6% от общей суммы прогнозируемых расходов, на 2021 год – 159,6 тыс. рублей, на 2022 год – 180,0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0808" w:rsidRDefault="007F0808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08">
        <w:rPr>
          <w:rFonts w:ascii="Times New Roman" w:hAnsi="Times New Roman" w:cs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119,3 тыс. рублей или 4,2% от общей суммы прогнозируемых расходов, на 2021 год – 119,8 тыс. рублей, на 2022 год – 74,7 тыс. рублей.</w:t>
      </w:r>
    </w:p>
    <w:p w:rsidR="007F0808" w:rsidRDefault="0030713F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2020 году составит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28,5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 в 2021 и 2022 годах составит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33,6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39,4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соответственно.</w:t>
      </w:r>
    </w:p>
    <w:p w:rsidR="001B2ADA" w:rsidRPr="001B2ADA" w:rsidRDefault="00BF3190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681006" w:rsidRPr="001B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1B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«Жилищно-коммунальное хозяйство</w:t>
      </w:r>
      <w:r w:rsidR="007150BE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44437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</w:t>
      </w:r>
      <w:r w:rsidR="007C66B4" w:rsidRPr="001B2ADA">
        <w:rPr>
          <w:rFonts w:ascii="Times New Roman" w:hAnsi="Times New Roman" w:cs="Times New Roman"/>
          <w:sz w:val="24"/>
          <w:szCs w:val="24"/>
        </w:rPr>
        <w:t xml:space="preserve">на 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7C66B4" w:rsidRPr="001B2ADA">
        <w:rPr>
          <w:rFonts w:ascii="Times New Roman" w:hAnsi="Times New Roman" w:cs="Times New Roman"/>
          <w:sz w:val="24"/>
          <w:szCs w:val="24"/>
        </w:rPr>
        <w:t>муниципальн</w:t>
      </w:r>
      <w:r w:rsidR="008730AE" w:rsidRPr="001B2ADA">
        <w:rPr>
          <w:rFonts w:ascii="Times New Roman" w:hAnsi="Times New Roman" w:cs="Times New Roman"/>
          <w:sz w:val="24"/>
          <w:szCs w:val="24"/>
        </w:rPr>
        <w:t>ой</w:t>
      </w:r>
      <w:r w:rsidR="007C66B4" w:rsidRPr="001B2AD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F0808" w:rsidRPr="001B2ADA">
        <w:rPr>
          <w:rFonts w:ascii="Times New Roman" w:hAnsi="Times New Roman" w:cs="Times New Roman"/>
          <w:sz w:val="24"/>
          <w:szCs w:val="24"/>
        </w:rPr>
        <w:t xml:space="preserve">"Модернизация и развитие сферы жилищно-коммунального хозяйства". </w:t>
      </w:r>
      <w:r w:rsidR="007C66B4" w:rsidRPr="001B2ADA">
        <w:rPr>
          <w:rFonts w:ascii="Times New Roman" w:hAnsi="Times New Roman" w:cs="Times New Roman"/>
          <w:sz w:val="24"/>
          <w:szCs w:val="24"/>
        </w:rPr>
        <w:t>В проекте решения на реализацию данной программы предусмотрен</w:t>
      </w:r>
      <w:r w:rsidR="008730AE" w:rsidRPr="001B2ADA">
        <w:rPr>
          <w:rFonts w:ascii="Times New Roman" w:hAnsi="Times New Roman" w:cs="Times New Roman"/>
          <w:sz w:val="24"/>
          <w:szCs w:val="24"/>
        </w:rPr>
        <w:t>ы</w:t>
      </w:r>
      <w:r w:rsidR="007C66B4" w:rsidRPr="001B2ADA">
        <w:rPr>
          <w:rFonts w:ascii="Times New Roman" w:hAnsi="Times New Roman" w:cs="Times New Roman"/>
          <w:sz w:val="24"/>
          <w:szCs w:val="24"/>
        </w:rPr>
        <w:t xml:space="preserve"> 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ассигнования на 2020 год в сумме </w:t>
      </w:r>
      <w:r w:rsidR="001B2ADA" w:rsidRPr="001B2ADA">
        <w:rPr>
          <w:rFonts w:ascii="Times New Roman" w:hAnsi="Times New Roman" w:cs="Times New Roman"/>
          <w:sz w:val="24"/>
          <w:szCs w:val="24"/>
        </w:rPr>
        <w:t>3,0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F0808" w:rsidRPr="001B2ADA">
        <w:rPr>
          <w:rFonts w:ascii="Times New Roman" w:hAnsi="Times New Roman" w:cs="Times New Roman"/>
          <w:sz w:val="24"/>
          <w:szCs w:val="24"/>
        </w:rPr>
        <w:t>,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 или </w:t>
      </w:r>
      <w:r w:rsidR="009407A3" w:rsidRPr="001B2ADA">
        <w:rPr>
          <w:rFonts w:ascii="Times New Roman" w:hAnsi="Times New Roman" w:cs="Times New Roman"/>
          <w:sz w:val="24"/>
          <w:szCs w:val="24"/>
        </w:rPr>
        <w:t>0,</w:t>
      </w:r>
      <w:r w:rsidR="001B2ADA" w:rsidRPr="001B2ADA">
        <w:rPr>
          <w:rFonts w:ascii="Times New Roman" w:hAnsi="Times New Roman" w:cs="Times New Roman"/>
          <w:sz w:val="24"/>
          <w:szCs w:val="24"/>
        </w:rPr>
        <w:t>1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 % от общей суммы прогнозируемых расходов.</w:t>
      </w:r>
      <w:r w:rsidR="009407A3" w:rsidRPr="001B2ADA">
        <w:rPr>
          <w:rFonts w:ascii="Times New Roman" w:hAnsi="Times New Roman" w:cs="Times New Roman"/>
          <w:sz w:val="24"/>
          <w:szCs w:val="24"/>
        </w:rPr>
        <w:t xml:space="preserve"> На 2021 год планируется </w:t>
      </w:r>
      <w:r w:rsidR="001B2ADA" w:rsidRPr="001B2ADA">
        <w:rPr>
          <w:rFonts w:ascii="Times New Roman" w:hAnsi="Times New Roman" w:cs="Times New Roman"/>
          <w:sz w:val="24"/>
          <w:szCs w:val="24"/>
        </w:rPr>
        <w:t>3,0</w:t>
      </w:r>
      <w:r w:rsidR="009407A3" w:rsidRPr="001B2ADA">
        <w:rPr>
          <w:rFonts w:ascii="Times New Roman" w:hAnsi="Times New Roman" w:cs="Times New Roman"/>
          <w:sz w:val="24"/>
          <w:szCs w:val="24"/>
        </w:rPr>
        <w:t xml:space="preserve"> т. руб., на 2022 год- </w:t>
      </w:r>
      <w:r w:rsidR="001B2ADA" w:rsidRPr="001B2ADA">
        <w:rPr>
          <w:rFonts w:ascii="Times New Roman" w:hAnsi="Times New Roman" w:cs="Times New Roman"/>
          <w:sz w:val="24"/>
          <w:szCs w:val="24"/>
        </w:rPr>
        <w:t>3,0</w:t>
      </w:r>
      <w:r w:rsidR="009407A3" w:rsidRPr="001B2ADA">
        <w:rPr>
          <w:rFonts w:ascii="Times New Roman" w:hAnsi="Times New Roman" w:cs="Times New Roman"/>
          <w:sz w:val="24"/>
          <w:szCs w:val="24"/>
        </w:rPr>
        <w:t xml:space="preserve"> т. р.</w:t>
      </w:r>
    </w:p>
    <w:p w:rsidR="001B2ADA" w:rsidRPr="001B2ADA" w:rsidRDefault="001B2ADA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DA">
        <w:rPr>
          <w:rFonts w:ascii="Times New Roman" w:hAnsi="Times New Roman" w:cs="Times New Roman"/>
          <w:sz w:val="24"/>
          <w:szCs w:val="24"/>
        </w:rPr>
        <w:t>Кроме того,  на оплату уличного освещения предусматриваются расходы  в сумме 45,0 тыс. рублей .</w:t>
      </w:r>
    </w:p>
    <w:p w:rsidR="001B2ADA" w:rsidRDefault="001B2ADA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DA">
        <w:rPr>
          <w:rFonts w:ascii="Times New Roman" w:hAnsi="Times New Roman" w:cs="Times New Roman"/>
          <w:sz w:val="24"/>
          <w:szCs w:val="24"/>
        </w:rPr>
        <w:t xml:space="preserve">Общая сумма расходов бюджета по данному разделу в 2020 году составит 48,0 тыс. руб. </w:t>
      </w:r>
      <w:r w:rsidR="001F37A5" w:rsidRPr="001B2ADA">
        <w:rPr>
          <w:rFonts w:ascii="Times New Roman" w:hAnsi="Times New Roman" w:cs="Times New Roman"/>
          <w:sz w:val="24"/>
          <w:szCs w:val="24"/>
        </w:rPr>
        <w:t xml:space="preserve">К утвержденным расходам 2019 года </w:t>
      </w:r>
      <w:r w:rsidR="009407A3" w:rsidRPr="001B2ADA">
        <w:rPr>
          <w:rFonts w:ascii="Times New Roman" w:hAnsi="Times New Roman" w:cs="Times New Roman"/>
          <w:sz w:val="24"/>
          <w:szCs w:val="24"/>
        </w:rPr>
        <w:t>(</w:t>
      </w:r>
      <w:r w:rsidRPr="001B2ADA">
        <w:rPr>
          <w:rFonts w:ascii="Times New Roman" w:hAnsi="Times New Roman" w:cs="Times New Roman"/>
          <w:sz w:val="24"/>
          <w:szCs w:val="24"/>
        </w:rPr>
        <w:t>230</w:t>
      </w:r>
      <w:r w:rsidR="009407A3" w:rsidRPr="001B2ADA">
        <w:rPr>
          <w:rFonts w:ascii="Times New Roman" w:hAnsi="Times New Roman" w:cs="Times New Roman"/>
          <w:sz w:val="24"/>
          <w:szCs w:val="24"/>
        </w:rPr>
        <w:t>,</w:t>
      </w:r>
      <w:r w:rsidRPr="001B2ADA">
        <w:rPr>
          <w:rFonts w:ascii="Times New Roman" w:hAnsi="Times New Roman" w:cs="Times New Roman"/>
          <w:sz w:val="24"/>
          <w:szCs w:val="24"/>
        </w:rPr>
        <w:t>0</w:t>
      </w:r>
      <w:r w:rsidR="009407A3" w:rsidRPr="001B2ADA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1F37A5" w:rsidRPr="001B2ADA">
        <w:rPr>
          <w:rFonts w:ascii="Times New Roman" w:hAnsi="Times New Roman" w:cs="Times New Roman"/>
          <w:sz w:val="24"/>
          <w:szCs w:val="24"/>
        </w:rPr>
        <w:t xml:space="preserve">по данному разделу  уменьшение расходов составит </w:t>
      </w:r>
      <w:r w:rsidRPr="001B2ADA">
        <w:rPr>
          <w:rFonts w:ascii="Times New Roman" w:hAnsi="Times New Roman" w:cs="Times New Roman"/>
          <w:sz w:val="24"/>
          <w:szCs w:val="24"/>
        </w:rPr>
        <w:t xml:space="preserve"> в </w:t>
      </w:r>
      <w:r w:rsidR="009407A3" w:rsidRPr="001B2ADA">
        <w:rPr>
          <w:rFonts w:ascii="Times New Roman" w:hAnsi="Times New Roman" w:cs="Times New Roman"/>
          <w:sz w:val="24"/>
          <w:szCs w:val="24"/>
        </w:rPr>
        <w:t>5 раз.</w:t>
      </w:r>
    </w:p>
    <w:p w:rsidR="001B2ADA" w:rsidRDefault="00BA0E35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DA">
        <w:rPr>
          <w:rFonts w:ascii="Times New Roman" w:hAnsi="Times New Roman" w:cs="Times New Roman"/>
          <w:sz w:val="24"/>
          <w:szCs w:val="24"/>
        </w:rPr>
        <w:t xml:space="preserve"> </w:t>
      </w:r>
      <w:r w:rsidR="00BF3190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составит в </w:t>
      </w:r>
      <w:r w:rsidR="00F922DD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B2ADA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1,7</w:t>
      </w:r>
      <w:r w:rsidR="007150BE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407A3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1F37A5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0BE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407A3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37A5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7A3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 w:rsidR="001B2ADA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07A3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</w:t>
      </w:r>
      <w:r w:rsidR="007150BE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407A3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37A5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7A3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 w:rsidR="001B2ADA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07A3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ADA" w:rsidRDefault="00BF3190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«Культура, кинематография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18122C">
        <w:rPr>
          <w:rFonts w:ascii="Times New Roman" w:hAnsi="Times New Roman" w:cs="Times New Roman"/>
          <w:sz w:val="24"/>
          <w:szCs w:val="24"/>
        </w:rPr>
        <w:t xml:space="preserve">юджетные ассигнования предусмотрены на  реализацию подпрограммы "Развитие культуры" муниципальной программы "Развитие культуры и туризма".На обеспечение деятельности учреждений в сфере культурно - </w:t>
      </w:r>
      <w:proofErr w:type="spellStart"/>
      <w:r w:rsidR="0040561B" w:rsidRPr="0018122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18122C">
        <w:rPr>
          <w:rFonts w:ascii="Times New Roman" w:hAnsi="Times New Roman" w:cs="Times New Roman"/>
          <w:sz w:val="24"/>
          <w:szCs w:val="24"/>
        </w:rPr>
        <w:t xml:space="preserve"> обслуживания населения на 2020 год  предусмотрены  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ассигнования  в сумме </w:t>
      </w:r>
      <w:r w:rsidR="001B2ADA">
        <w:rPr>
          <w:rFonts w:ascii="Times New Roman" w:hAnsi="Times New Roman" w:cs="Times New Roman"/>
          <w:sz w:val="24"/>
          <w:szCs w:val="24"/>
        </w:rPr>
        <w:t>596,8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="009407A3">
        <w:rPr>
          <w:rFonts w:ascii="Times New Roman" w:hAnsi="Times New Roman" w:cs="Times New Roman"/>
          <w:sz w:val="24"/>
          <w:szCs w:val="24"/>
        </w:rPr>
        <w:t>, что составляет 6</w:t>
      </w:r>
      <w:r w:rsidR="001B2ADA">
        <w:rPr>
          <w:rFonts w:ascii="Times New Roman" w:hAnsi="Times New Roman" w:cs="Times New Roman"/>
          <w:sz w:val="24"/>
          <w:szCs w:val="24"/>
        </w:rPr>
        <w:t>5,2</w:t>
      </w:r>
      <w:r w:rsidR="009407A3">
        <w:rPr>
          <w:rFonts w:ascii="Times New Roman" w:hAnsi="Times New Roman" w:cs="Times New Roman"/>
          <w:sz w:val="24"/>
          <w:szCs w:val="24"/>
        </w:rPr>
        <w:t xml:space="preserve"> % к уровню 2019 года. На 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2021 год </w:t>
      </w:r>
      <w:r w:rsidR="007B68CC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</w:t>
      </w:r>
      <w:r w:rsidR="009407A3">
        <w:rPr>
          <w:rFonts w:ascii="Times New Roman" w:hAnsi="Times New Roman" w:cs="Times New Roman"/>
          <w:sz w:val="24"/>
          <w:szCs w:val="24"/>
        </w:rPr>
        <w:t>4</w:t>
      </w:r>
      <w:r w:rsidR="001B2ADA">
        <w:rPr>
          <w:rFonts w:ascii="Times New Roman" w:hAnsi="Times New Roman" w:cs="Times New Roman"/>
          <w:sz w:val="24"/>
          <w:szCs w:val="24"/>
        </w:rPr>
        <w:t>01,0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рублей, на 2022 год – </w:t>
      </w:r>
      <w:r w:rsidR="001B2ADA">
        <w:rPr>
          <w:rFonts w:ascii="Times New Roman" w:hAnsi="Times New Roman" w:cs="Times New Roman"/>
          <w:sz w:val="24"/>
          <w:szCs w:val="24"/>
        </w:rPr>
        <w:t>401,0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рублей. Из них,  на иные межбюджетные трансферты для перечисления в бюджет Ибресинского района на содержание работников учреждений культуры на 2020 год предусмотрено  </w:t>
      </w:r>
      <w:r w:rsidR="001B2ADA">
        <w:rPr>
          <w:rFonts w:ascii="Times New Roman" w:hAnsi="Times New Roman" w:cs="Times New Roman"/>
          <w:sz w:val="24"/>
          <w:szCs w:val="24"/>
        </w:rPr>
        <w:t>401,1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 рублей, на 2021 год – </w:t>
      </w:r>
      <w:r w:rsidR="001B2ADA">
        <w:rPr>
          <w:rFonts w:ascii="Times New Roman" w:hAnsi="Times New Roman" w:cs="Times New Roman"/>
          <w:sz w:val="24"/>
          <w:szCs w:val="24"/>
        </w:rPr>
        <w:t>401,1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рублей, на 2022 год – </w:t>
      </w:r>
      <w:r w:rsidR="001B2ADA">
        <w:rPr>
          <w:rFonts w:ascii="Times New Roman" w:hAnsi="Times New Roman" w:cs="Times New Roman"/>
          <w:sz w:val="24"/>
          <w:szCs w:val="24"/>
        </w:rPr>
        <w:t>401,1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8122C" w:rsidRPr="0018122C">
        <w:rPr>
          <w:rFonts w:ascii="Times New Roman" w:hAnsi="Times New Roman" w:cs="Times New Roman"/>
          <w:sz w:val="24"/>
          <w:szCs w:val="24"/>
        </w:rPr>
        <w:t>.</w:t>
      </w:r>
    </w:p>
    <w:p w:rsidR="001B2ADA" w:rsidRDefault="0040561B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 w:rsidRPr="0018122C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B2ADA">
        <w:rPr>
          <w:rFonts w:ascii="Times New Roman" w:hAnsi="Times New Roman" w:cs="Times New Roman"/>
          <w:sz w:val="24"/>
          <w:szCs w:val="24"/>
        </w:rPr>
        <w:t>20,9</w:t>
      </w:r>
      <w:r w:rsidRPr="0018122C">
        <w:rPr>
          <w:rFonts w:ascii="Times New Roman" w:hAnsi="Times New Roman" w:cs="Times New Roman"/>
          <w:sz w:val="24"/>
          <w:szCs w:val="24"/>
        </w:rPr>
        <w:t xml:space="preserve">%  , </w:t>
      </w:r>
      <w:r w:rsidR="000565CF" w:rsidRPr="0018122C">
        <w:rPr>
          <w:rFonts w:ascii="Times New Roman" w:hAnsi="Times New Roman" w:cs="Times New Roman"/>
          <w:sz w:val="24"/>
          <w:szCs w:val="24"/>
        </w:rPr>
        <w:t>на</w:t>
      </w:r>
      <w:r w:rsidRPr="0018122C">
        <w:rPr>
          <w:rFonts w:ascii="Times New Roman" w:hAnsi="Times New Roman" w:cs="Times New Roman"/>
          <w:sz w:val="24"/>
          <w:szCs w:val="24"/>
        </w:rPr>
        <w:t xml:space="preserve">  2021 год – </w:t>
      </w:r>
      <w:r w:rsidR="001B2ADA">
        <w:rPr>
          <w:rFonts w:ascii="Times New Roman" w:hAnsi="Times New Roman" w:cs="Times New Roman"/>
          <w:sz w:val="24"/>
          <w:szCs w:val="24"/>
        </w:rPr>
        <w:t>16,6</w:t>
      </w:r>
      <w:r w:rsidRPr="0018122C">
        <w:rPr>
          <w:rFonts w:ascii="Times New Roman" w:hAnsi="Times New Roman" w:cs="Times New Roman"/>
          <w:sz w:val="24"/>
          <w:szCs w:val="24"/>
        </w:rPr>
        <w:t xml:space="preserve">%,  </w:t>
      </w:r>
      <w:r w:rsidR="000565CF" w:rsidRPr="0018122C">
        <w:rPr>
          <w:rFonts w:ascii="Times New Roman" w:hAnsi="Times New Roman" w:cs="Times New Roman"/>
          <w:sz w:val="24"/>
          <w:szCs w:val="24"/>
        </w:rPr>
        <w:t>на</w:t>
      </w:r>
      <w:r w:rsidRPr="0018122C">
        <w:rPr>
          <w:rFonts w:ascii="Times New Roman" w:hAnsi="Times New Roman" w:cs="Times New Roman"/>
          <w:sz w:val="24"/>
          <w:szCs w:val="24"/>
        </w:rPr>
        <w:t xml:space="preserve"> 2022 год – </w:t>
      </w:r>
      <w:r w:rsidR="001B2ADA">
        <w:rPr>
          <w:rFonts w:ascii="Times New Roman" w:hAnsi="Times New Roman" w:cs="Times New Roman"/>
          <w:sz w:val="24"/>
          <w:szCs w:val="24"/>
        </w:rPr>
        <w:t>15,2</w:t>
      </w:r>
      <w:r w:rsidRPr="0018122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B2ADA" w:rsidRDefault="00240E83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C71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8122C" w:rsidRPr="0018122C">
        <w:rPr>
          <w:rFonts w:ascii="Times New Roman" w:hAnsi="Times New Roman" w:cs="Times New Roman"/>
          <w:sz w:val="24"/>
          <w:szCs w:val="24"/>
        </w:rPr>
        <w:t>устанавливается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2,5% общего объема расходов бюджета, на второй год планового периода в объеме не менее 5% общего объема расходов бюджета.</w:t>
      </w:r>
      <w:r w:rsidR="007B68CC">
        <w:rPr>
          <w:rFonts w:ascii="Times New Roman" w:hAnsi="Times New Roman" w:cs="Times New Roman"/>
          <w:sz w:val="24"/>
          <w:szCs w:val="24"/>
        </w:rPr>
        <w:t xml:space="preserve"> 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Условно утвержденные расходы предусмотрены в 2021 году в сумме </w:t>
      </w:r>
      <w:r w:rsidR="001B2ADA">
        <w:rPr>
          <w:rFonts w:ascii="Times New Roman" w:hAnsi="Times New Roman" w:cs="Times New Roman"/>
          <w:sz w:val="24"/>
          <w:szCs w:val="24"/>
        </w:rPr>
        <w:t>46,3</w:t>
      </w:r>
      <w:r w:rsidR="001F37A5">
        <w:rPr>
          <w:rFonts w:ascii="Times New Roman" w:hAnsi="Times New Roman" w:cs="Times New Roman"/>
          <w:sz w:val="24"/>
          <w:szCs w:val="24"/>
        </w:rPr>
        <w:t xml:space="preserve"> тыс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. рублей, в 2022 году – </w:t>
      </w:r>
      <w:r w:rsidR="001B2ADA">
        <w:rPr>
          <w:rFonts w:ascii="Times New Roman" w:hAnsi="Times New Roman" w:cs="Times New Roman"/>
          <w:sz w:val="24"/>
          <w:szCs w:val="24"/>
        </w:rPr>
        <w:t>91,7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B2ADA" w:rsidRDefault="001B2ADA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E14" w:rsidRDefault="00BF3190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41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  <w:r w:rsid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122C" w:rsidRPr="0018122C">
        <w:t xml:space="preserve"> </w:t>
      </w:r>
    </w:p>
    <w:p w:rsidR="001B2ADA" w:rsidRDefault="00BF3190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бюджета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5B5B25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 показателей, представленных для рассмотрения  и утверждения  в проекте решения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2854,7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2420,7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2631,1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B68C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2854,7</w:t>
      </w:r>
      <w:r w:rsidR="007B68C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2021 год –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2420,7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2022 год –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2631,1</w:t>
      </w:r>
      <w:r w:rsidR="007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337F9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46E5" w:rsidRDefault="001161CA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46,3</w:t>
      </w:r>
      <w:r w:rsid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91,7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E46E5" w:rsidRDefault="004110C2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41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1CA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11.2019 г.</w:t>
      </w: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CE46E5">
      <w:pPr>
        <w:pBdr>
          <w:bottom w:val="single" w:sz="12" w:space="3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E14" w:rsidSect="00974E14">
      <w:pgSz w:w="11906" w:h="16838"/>
      <w:pgMar w:top="79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A9" w:rsidRDefault="001D0BA9" w:rsidP="00B1668B">
      <w:pPr>
        <w:spacing w:after="0" w:line="240" w:lineRule="auto"/>
      </w:pPr>
      <w:r>
        <w:separator/>
      </w:r>
    </w:p>
  </w:endnote>
  <w:endnote w:type="continuationSeparator" w:id="0">
    <w:p w:rsidR="001D0BA9" w:rsidRDefault="001D0BA9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A9" w:rsidRDefault="001D0BA9" w:rsidP="00B1668B">
      <w:pPr>
        <w:spacing w:after="0" w:line="240" w:lineRule="auto"/>
      </w:pPr>
      <w:r>
        <w:separator/>
      </w:r>
    </w:p>
  </w:footnote>
  <w:footnote w:type="continuationSeparator" w:id="0">
    <w:p w:rsidR="001D0BA9" w:rsidRDefault="001D0BA9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16BA"/>
    <w:rsid w:val="00007985"/>
    <w:rsid w:val="000163F0"/>
    <w:rsid w:val="00036767"/>
    <w:rsid w:val="0004144C"/>
    <w:rsid w:val="00042891"/>
    <w:rsid w:val="000565CF"/>
    <w:rsid w:val="00063062"/>
    <w:rsid w:val="00070853"/>
    <w:rsid w:val="00070C59"/>
    <w:rsid w:val="000744B9"/>
    <w:rsid w:val="00075F56"/>
    <w:rsid w:val="00076064"/>
    <w:rsid w:val="00082CC8"/>
    <w:rsid w:val="00083983"/>
    <w:rsid w:val="00092025"/>
    <w:rsid w:val="00093D75"/>
    <w:rsid w:val="000C1F1C"/>
    <w:rsid w:val="000C4EEB"/>
    <w:rsid w:val="000C773C"/>
    <w:rsid w:val="000D6F88"/>
    <w:rsid w:val="000E4AF7"/>
    <w:rsid w:val="000F5B0E"/>
    <w:rsid w:val="00104BC5"/>
    <w:rsid w:val="00110BD4"/>
    <w:rsid w:val="001161CA"/>
    <w:rsid w:val="00123F68"/>
    <w:rsid w:val="0013267B"/>
    <w:rsid w:val="00136055"/>
    <w:rsid w:val="00136E68"/>
    <w:rsid w:val="00140F45"/>
    <w:rsid w:val="00147411"/>
    <w:rsid w:val="001510D3"/>
    <w:rsid w:val="0015720F"/>
    <w:rsid w:val="0015765C"/>
    <w:rsid w:val="00162E87"/>
    <w:rsid w:val="00163254"/>
    <w:rsid w:val="00172EF0"/>
    <w:rsid w:val="00173E2B"/>
    <w:rsid w:val="00180659"/>
    <w:rsid w:val="0018122C"/>
    <w:rsid w:val="001816CA"/>
    <w:rsid w:val="001842CA"/>
    <w:rsid w:val="001A0E23"/>
    <w:rsid w:val="001B2ADA"/>
    <w:rsid w:val="001C7BB2"/>
    <w:rsid w:val="001D05CC"/>
    <w:rsid w:val="001D0BA9"/>
    <w:rsid w:val="001F37A5"/>
    <w:rsid w:val="00200405"/>
    <w:rsid w:val="0023175C"/>
    <w:rsid w:val="00240E83"/>
    <w:rsid w:val="002464FA"/>
    <w:rsid w:val="002654BF"/>
    <w:rsid w:val="00271D79"/>
    <w:rsid w:val="00272218"/>
    <w:rsid w:val="00291152"/>
    <w:rsid w:val="00294399"/>
    <w:rsid w:val="0029558F"/>
    <w:rsid w:val="002B41C3"/>
    <w:rsid w:val="002B4369"/>
    <w:rsid w:val="002B4D95"/>
    <w:rsid w:val="002C0229"/>
    <w:rsid w:val="002C5B93"/>
    <w:rsid w:val="002C7A96"/>
    <w:rsid w:val="002D7C4B"/>
    <w:rsid w:val="002F6DC9"/>
    <w:rsid w:val="002F7421"/>
    <w:rsid w:val="0030713F"/>
    <w:rsid w:val="00321189"/>
    <w:rsid w:val="0032598E"/>
    <w:rsid w:val="00337962"/>
    <w:rsid w:val="00341304"/>
    <w:rsid w:val="00344437"/>
    <w:rsid w:val="00352690"/>
    <w:rsid w:val="0035748D"/>
    <w:rsid w:val="00360E0D"/>
    <w:rsid w:val="0036455D"/>
    <w:rsid w:val="0037526F"/>
    <w:rsid w:val="0037772C"/>
    <w:rsid w:val="003804B9"/>
    <w:rsid w:val="00381A08"/>
    <w:rsid w:val="00383CB0"/>
    <w:rsid w:val="00391901"/>
    <w:rsid w:val="003979FD"/>
    <w:rsid w:val="003A037C"/>
    <w:rsid w:val="003A7B8B"/>
    <w:rsid w:val="003C29F6"/>
    <w:rsid w:val="003C2E26"/>
    <w:rsid w:val="003E1B8B"/>
    <w:rsid w:val="003E3B2D"/>
    <w:rsid w:val="003F0895"/>
    <w:rsid w:val="0040561B"/>
    <w:rsid w:val="00407E6A"/>
    <w:rsid w:val="004110C2"/>
    <w:rsid w:val="00412136"/>
    <w:rsid w:val="004147B4"/>
    <w:rsid w:val="00416004"/>
    <w:rsid w:val="0041788D"/>
    <w:rsid w:val="004219FB"/>
    <w:rsid w:val="00421F06"/>
    <w:rsid w:val="00422E59"/>
    <w:rsid w:val="00422FF1"/>
    <w:rsid w:val="00426DA9"/>
    <w:rsid w:val="00427294"/>
    <w:rsid w:val="00441CAB"/>
    <w:rsid w:val="00467B69"/>
    <w:rsid w:val="00483522"/>
    <w:rsid w:val="00497C3A"/>
    <w:rsid w:val="004B13AD"/>
    <w:rsid w:val="004C308D"/>
    <w:rsid w:val="004C597E"/>
    <w:rsid w:val="004C7C1F"/>
    <w:rsid w:val="004D077F"/>
    <w:rsid w:val="004E5AAC"/>
    <w:rsid w:val="004E7214"/>
    <w:rsid w:val="0050100A"/>
    <w:rsid w:val="005050D8"/>
    <w:rsid w:val="00507A20"/>
    <w:rsid w:val="00510BD8"/>
    <w:rsid w:val="00511C71"/>
    <w:rsid w:val="005132AF"/>
    <w:rsid w:val="005159AD"/>
    <w:rsid w:val="00515ACA"/>
    <w:rsid w:val="00516353"/>
    <w:rsid w:val="005312A6"/>
    <w:rsid w:val="00540DA7"/>
    <w:rsid w:val="00541875"/>
    <w:rsid w:val="00561A6A"/>
    <w:rsid w:val="00564C6F"/>
    <w:rsid w:val="00574AF1"/>
    <w:rsid w:val="005A25BE"/>
    <w:rsid w:val="005B5B25"/>
    <w:rsid w:val="005C08DF"/>
    <w:rsid w:val="005C3245"/>
    <w:rsid w:val="005C7B50"/>
    <w:rsid w:val="005D2674"/>
    <w:rsid w:val="005E0831"/>
    <w:rsid w:val="005E1E5C"/>
    <w:rsid w:val="005E39AC"/>
    <w:rsid w:val="005F2366"/>
    <w:rsid w:val="005F5F33"/>
    <w:rsid w:val="00630C6D"/>
    <w:rsid w:val="00632E2D"/>
    <w:rsid w:val="006337F9"/>
    <w:rsid w:val="00634331"/>
    <w:rsid w:val="00635885"/>
    <w:rsid w:val="006517F4"/>
    <w:rsid w:val="00654E10"/>
    <w:rsid w:val="00655474"/>
    <w:rsid w:val="00655DFD"/>
    <w:rsid w:val="0066359D"/>
    <w:rsid w:val="00666B58"/>
    <w:rsid w:val="00671C1E"/>
    <w:rsid w:val="00681006"/>
    <w:rsid w:val="00691CFC"/>
    <w:rsid w:val="00692FE0"/>
    <w:rsid w:val="006A21B7"/>
    <w:rsid w:val="006A3587"/>
    <w:rsid w:val="006A7DC1"/>
    <w:rsid w:val="006B5827"/>
    <w:rsid w:val="006B6F7C"/>
    <w:rsid w:val="006C0A64"/>
    <w:rsid w:val="006C1974"/>
    <w:rsid w:val="006C3EFA"/>
    <w:rsid w:val="006D21E0"/>
    <w:rsid w:val="006E2AFA"/>
    <w:rsid w:val="00703C60"/>
    <w:rsid w:val="007046A9"/>
    <w:rsid w:val="0070702A"/>
    <w:rsid w:val="0071131D"/>
    <w:rsid w:val="007139F1"/>
    <w:rsid w:val="007150BE"/>
    <w:rsid w:val="0072039F"/>
    <w:rsid w:val="0072217C"/>
    <w:rsid w:val="0072235B"/>
    <w:rsid w:val="00722BB5"/>
    <w:rsid w:val="007336DB"/>
    <w:rsid w:val="007416D1"/>
    <w:rsid w:val="0074252B"/>
    <w:rsid w:val="00743448"/>
    <w:rsid w:val="007563E3"/>
    <w:rsid w:val="0075708C"/>
    <w:rsid w:val="007575CA"/>
    <w:rsid w:val="007613AC"/>
    <w:rsid w:val="007662BA"/>
    <w:rsid w:val="00774997"/>
    <w:rsid w:val="00784FA5"/>
    <w:rsid w:val="0078570D"/>
    <w:rsid w:val="0078644F"/>
    <w:rsid w:val="00790BB7"/>
    <w:rsid w:val="007A40C5"/>
    <w:rsid w:val="007B5F1E"/>
    <w:rsid w:val="007B68CC"/>
    <w:rsid w:val="007B6FDC"/>
    <w:rsid w:val="007C6219"/>
    <w:rsid w:val="007C63B1"/>
    <w:rsid w:val="007C6522"/>
    <w:rsid w:val="007C66B4"/>
    <w:rsid w:val="007E4C78"/>
    <w:rsid w:val="007E5A2D"/>
    <w:rsid w:val="007F0808"/>
    <w:rsid w:val="00801008"/>
    <w:rsid w:val="00803FEA"/>
    <w:rsid w:val="00816FEE"/>
    <w:rsid w:val="00817E68"/>
    <w:rsid w:val="00821923"/>
    <w:rsid w:val="00830C0E"/>
    <w:rsid w:val="00836AE5"/>
    <w:rsid w:val="00843129"/>
    <w:rsid w:val="00845D4A"/>
    <w:rsid w:val="00850A9B"/>
    <w:rsid w:val="00851470"/>
    <w:rsid w:val="00852F64"/>
    <w:rsid w:val="00865A7D"/>
    <w:rsid w:val="00866E6F"/>
    <w:rsid w:val="00870D48"/>
    <w:rsid w:val="008730AE"/>
    <w:rsid w:val="0088098D"/>
    <w:rsid w:val="00892D41"/>
    <w:rsid w:val="008A219F"/>
    <w:rsid w:val="008A77E8"/>
    <w:rsid w:val="008C2028"/>
    <w:rsid w:val="008C78F3"/>
    <w:rsid w:val="008D0B29"/>
    <w:rsid w:val="008E0921"/>
    <w:rsid w:val="008E2A20"/>
    <w:rsid w:val="00903ED7"/>
    <w:rsid w:val="00917D18"/>
    <w:rsid w:val="00931E42"/>
    <w:rsid w:val="009407A3"/>
    <w:rsid w:val="00942B4C"/>
    <w:rsid w:val="00943DBA"/>
    <w:rsid w:val="00951B74"/>
    <w:rsid w:val="00951D39"/>
    <w:rsid w:val="00960813"/>
    <w:rsid w:val="00964B8D"/>
    <w:rsid w:val="00970E23"/>
    <w:rsid w:val="00974E14"/>
    <w:rsid w:val="009A1C28"/>
    <w:rsid w:val="009A37FF"/>
    <w:rsid w:val="009B09C9"/>
    <w:rsid w:val="009B52E0"/>
    <w:rsid w:val="009C0902"/>
    <w:rsid w:val="009C1BCC"/>
    <w:rsid w:val="009C2909"/>
    <w:rsid w:val="009C7D79"/>
    <w:rsid w:val="00A03BE3"/>
    <w:rsid w:val="00A057DF"/>
    <w:rsid w:val="00A2545E"/>
    <w:rsid w:val="00A36510"/>
    <w:rsid w:val="00A439FA"/>
    <w:rsid w:val="00A632A6"/>
    <w:rsid w:val="00A707E9"/>
    <w:rsid w:val="00A724EA"/>
    <w:rsid w:val="00A76A58"/>
    <w:rsid w:val="00A927AD"/>
    <w:rsid w:val="00A94595"/>
    <w:rsid w:val="00AB31CF"/>
    <w:rsid w:val="00AD475C"/>
    <w:rsid w:val="00AE25DC"/>
    <w:rsid w:val="00AF42CD"/>
    <w:rsid w:val="00AF6677"/>
    <w:rsid w:val="00B01C52"/>
    <w:rsid w:val="00B06073"/>
    <w:rsid w:val="00B0689B"/>
    <w:rsid w:val="00B07C1F"/>
    <w:rsid w:val="00B1668B"/>
    <w:rsid w:val="00B232C0"/>
    <w:rsid w:val="00B353D7"/>
    <w:rsid w:val="00B357C3"/>
    <w:rsid w:val="00B43D19"/>
    <w:rsid w:val="00B51C1F"/>
    <w:rsid w:val="00B66004"/>
    <w:rsid w:val="00B72976"/>
    <w:rsid w:val="00B7334C"/>
    <w:rsid w:val="00B853CD"/>
    <w:rsid w:val="00B8581B"/>
    <w:rsid w:val="00BA0E35"/>
    <w:rsid w:val="00BB05F8"/>
    <w:rsid w:val="00BB3DF8"/>
    <w:rsid w:val="00BB74EF"/>
    <w:rsid w:val="00BC7E0F"/>
    <w:rsid w:val="00BF3190"/>
    <w:rsid w:val="00C21EA4"/>
    <w:rsid w:val="00C55E0A"/>
    <w:rsid w:val="00C56C50"/>
    <w:rsid w:val="00C57233"/>
    <w:rsid w:val="00C641CF"/>
    <w:rsid w:val="00C72587"/>
    <w:rsid w:val="00C80A3B"/>
    <w:rsid w:val="00C822B0"/>
    <w:rsid w:val="00C961F6"/>
    <w:rsid w:val="00C971C9"/>
    <w:rsid w:val="00CA70EC"/>
    <w:rsid w:val="00CC5CA0"/>
    <w:rsid w:val="00CC795E"/>
    <w:rsid w:val="00CC7AB5"/>
    <w:rsid w:val="00CE1096"/>
    <w:rsid w:val="00CE3499"/>
    <w:rsid w:val="00CE46E5"/>
    <w:rsid w:val="00CE4FC0"/>
    <w:rsid w:val="00CF29D8"/>
    <w:rsid w:val="00D00ACF"/>
    <w:rsid w:val="00D07636"/>
    <w:rsid w:val="00D118EA"/>
    <w:rsid w:val="00D137F0"/>
    <w:rsid w:val="00D145D3"/>
    <w:rsid w:val="00D170C1"/>
    <w:rsid w:val="00D33B46"/>
    <w:rsid w:val="00D358ED"/>
    <w:rsid w:val="00D417B1"/>
    <w:rsid w:val="00D43508"/>
    <w:rsid w:val="00D5479C"/>
    <w:rsid w:val="00D54B45"/>
    <w:rsid w:val="00D61B49"/>
    <w:rsid w:val="00D63A98"/>
    <w:rsid w:val="00D642F4"/>
    <w:rsid w:val="00D76A4C"/>
    <w:rsid w:val="00D778E7"/>
    <w:rsid w:val="00D844CF"/>
    <w:rsid w:val="00D867AF"/>
    <w:rsid w:val="00DA730C"/>
    <w:rsid w:val="00DB41C9"/>
    <w:rsid w:val="00E00749"/>
    <w:rsid w:val="00E02E32"/>
    <w:rsid w:val="00E07A83"/>
    <w:rsid w:val="00E10833"/>
    <w:rsid w:val="00E13A6A"/>
    <w:rsid w:val="00E2634C"/>
    <w:rsid w:val="00E30E2B"/>
    <w:rsid w:val="00E33644"/>
    <w:rsid w:val="00E34EAE"/>
    <w:rsid w:val="00E47499"/>
    <w:rsid w:val="00E53BC5"/>
    <w:rsid w:val="00E61B3F"/>
    <w:rsid w:val="00E62C64"/>
    <w:rsid w:val="00E70FCC"/>
    <w:rsid w:val="00E76557"/>
    <w:rsid w:val="00E82256"/>
    <w:rsid w:val="00E83F80"/>
    <w:rsid w:val="00E96867"/>
    <w:rsid w:val="00EA4501"/>
    <w:rsid w:val="00EB7DCC"/>
    <w:rsid w:val="00EC0BCF"/>
    <w:rsid w:val="00EC659A"/>
    <w:rsid w:val="00EE5D07"/>
    <w:rsid w:val="00EF2D4C"/>
    <w:rsid w:val="00EF5A01"/>
    <w:rsid w:val="00F13994"/>
    <w:rsid w:val="00F14A65"/>
    <w:rsid w:val="00F1775F"/>
    <w:rsid w:val="00F27429"/>
    <w:rsid w:val="00F521EE"/>
    <w:rsid w:val="00F53694"/>
    <w:rsid w:val="00F543F4"/>
    <w:rsid w:val="00F63343"/>
    <w:rsid w:val="00F656FC"/>
    <w:rsid w:val="00F67F03"/>
    <w:rsid w:val="00F70C08"/>
    <w:rsid w:val="00F72B31"/>
    <w:rsid w:val="00F76924"/>
    <w:rsid w:val="00F8591E"/>
    <w:rsid w:val="00F922DD"/>
    <w:rsid w:val="00F948EB"/>
    <w:rsid w:val="00FA65EE"/>
    <w:rsid w:val="00FA6DE8"/>
    <w:rsid w:val="00FB34BA"/>
    <w:rsid w:val="00FB59F9"/>
    <w:rsid w:val="00FB6367"/>
    <w:rsid w:val="00FD4981"/>
    <w:rsid w:val="00FE04AE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Стиль1"/>
    <w:basedOn w:val="a"/>
    <w:link w:val="11"/>
    <w:qFormat/>
    <w:rsid w:val="00A632A6"/>
    <w:pPr>
      <w:pBdr>
        <w:bottom w:val="single" w:sz="12" w:space="21" w:color="auto"/>
      </w:pBd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10"/>
    <w:link w:val="20"/>
    <w:qFormat/>
    <w:rsid w:val="00A632A6"/>
  </w:style>
  <w:style w:type="character" w:customStyle="1" w:styleId="11">
    <w:name w:val="Стиль1 Знак"/>
    <w:basedOn w:val="a0"/>
    <w:link w:val="10"/>
    <w:rsid w:val="00A632A6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2"/>
    <w:link w:val="30"/>
    <w:qFormat/>
    <w:rsid w:val="00A632A6"/>
    <w:rPr>
      <w:rFonts w:eastAsia="Times New Roman"/>
      <w:lang w:eastAsia="ru-RU"/>
    </w:rPr>
  </w:style>
  <w:style w:type="character" w:customStyle="1" w:styleId="20">
    <w:name w:val="Стиль2 Знак"/>
    <w:basedOn w:val="11"/>
    <w:link w:val="2"/>
    <w:rsid w:val="00A632A6"/>
  </w:style>
  <w:style w:type="character" w:customStyle="1" w:styleId="30">
    <w:name w:val="Стиль3 Знак"/>
    <w:basedOn w:val="20"/>
    <w:link w:val="3"/>
    <w:rsid w:val="00A632A6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3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14BE1-0EE3-4F57-AF68-DF255645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3</cp:revision>
  <cp:lastPrinted>2019-12-18T10:11:00Z</cp:lastPrinted>
  <dcterms:created xsi:type="dcterms:W3CDTF">2019-12-18T08:57:00Z</dcterms:created>
  <dcterms:modified xsi:type="dcterms:W3CDTF">2019-12-18T10:13:00Z</dcterms:modified>
</cp:coreProperties>
</file>