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294399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27.11.2019                                                                                                      № 62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proofErr w:type="spellStart"/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65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</w:t>
      </w:r>
      <w:r w:rsidR="002B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proofErr w:type="spellStart"/>
      <w:r w:rsidR="0065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</w:t>
      </w:r>
      <w:r w:rsidR="002B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r w:rsidR="0065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</w:t>
      </w:r>
      <w:r w:rsidR="002B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Основные характеристики проекта бюджета </w:t>
      </w:r>
      <w:proofErr w:type="spellStart"/>
      <w:r w:rsidR="00F53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Новочурашевского</w:t>
      </w:r>
      <w:proofErr w:type="spellEnd"/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72217C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C" w:rsidRPr="009A1C28" w:rsidRDefault="0072217C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4555,2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4184,1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3988,3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106,4</w:t>
            </w:r>
          </w:p>
        </w:tc>
      </w:tr>
      <w:tr w:rsidR="0072217C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C" w:rsidRPr="009A1C28" w:rsidRDefault="0072217C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4184,1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3988,3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106,4</w:t>
            </w:r>
          </w:p>
        </w:tc>
      </w:tr>
      <w:tr w:rsidR="00070853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9A1C28" w:rsidRDefault="00070853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2217C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2217C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2217C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2217C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60E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>053,1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>1051,6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83522">
        <w:rPr>
          <w:rFonts w:ascii="Times New Roman" w:eastAsia="Times New Roman" w:hAnsi="Times New Roman" w:cs="Times New Roman"/>
          <w:sz w:val="24"/>
          <w:szCs w:val="24"/>
          <w:lang w:eastAsia="ru-RU"/>
        </w:rPr>
        <w:t>1339,7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2654BF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81,9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2654BF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161,9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3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Новочурашевского</w:t>
      </w:r>
      <w:proofErr w:type="spellEnd"/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4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proofErr w:type="spellStart"/>
      <w:r w:rsidR="00F53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Новочурашевского</w:t>
      </w:r>
      <w:proofErr w:type="spellEnd"/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proofErr w:type="spellStart"/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Новочурашевского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proofErr w:type="spellStart"/>
      <w:r w:rsidR="00F53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Новочурашевского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Новочурашевском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proofErr w:type="spellStart"/>
      <w:r w:rsidR="00F53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Новочурашевского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proofErr w:type="spellStart"/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proofErr w:type="spellEnd"/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2A20" w:rsidRPr="002C0229" w:rsidRDefault="008E2A20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Новочурашевского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 4184,1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3988,3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4242,5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D9604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D9604B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D9604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D9604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D9604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8E2A20" w:rsidRPr="002C0229" w:rsidTr="008E2A20">
        <w:trPr>
          <w:trHeight w:val="471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4555,2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4184,1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3988,3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4242,5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106,4</w:t>
            </w:r>
          </w:p>
        </w:tc>
      </w:tr>
      <w:tr w:rsidR="008E2A20" w:rsidRPr="002C0229" w:rsidTr="008E2A20">
        <w:trPr>
          <w:trHeight w:val="249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20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1089,5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1339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122,9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1360,9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101,6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1381,3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101,5</w:t>
            </w:r>
          </w:p>
        </w:tc>
      </w:tr>
      <w:tr w:rsidR="008E2A20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23,9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133,8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34,1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106,6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32,6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95,6</w:t>
            </w:r>
          </w:p>
        </w:tc>
      </w:tr>
      <w:tr w:rsidR="008E2A20" w:rsidRPr="002C0229" w:rsidTr="008E2A20"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3461,8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2842,1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82,1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2627,4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92,4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2861,2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108,9</w:t>
            </w:r>
          </w:p>
        </w:tc>
      </w:tr>
      <w:tr w:rsidR="008E2A20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102,3</w:t>
            </w:r>
          </w:p>
        </w:tc>
      </w:tr>
    </w:tbl>
    <w:p w:rsidR="00BF3190" w:rsidRPr="003B0526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249,5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1339,0 тыс. руб.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32,0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32,6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F3190" w:rsidRPr="00865A7D" w:rsidRDefault="00BF3190" w:rsidP="008E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C641CF">
        <w:rPr>
          <w:rFonts w:ascii="Times New Roman" w:eastAsia="Times New Roman" w:hAnsi="Times New Roman" w:cs="Times New Roman"/>
          <w:sz w:val="24"/>
          <w:szCs w:val="24"/>
          <w:lang w:eastAsia="ru-RU"/>
        </w:rPr>
        <w:t>2842,1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2627,4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2861,2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планом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безвозмездных поступлений на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619,7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17,9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D07" w:rsidRPr="00EE5D07">
        <w:t xml:space="preserve"> 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2020 году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3343" w:rsidRPr="00F63343">
        <w:t xml:space="preserve"> 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</w:t>
      </w:r>
      <w:r w:rsidR="00F63343"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на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8,9% к </w:t>
      </w:r>
      <w:r w:rsidR="00865A7D"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году</w:t>
      </w:r>
      <w:r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3B0526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p w:rsidR="00BF3190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4111"/>
        <w:gridCol w:w="1464"/>
        <w:gridCol w:w="1371"/>
        <w:gridCol w:w="1418"/>
        <w:gridCol w:w="1275"/>
      </w:tblGrid>
      <w:tr w:rsidR="00BF3190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0" w:rsidRPr="00B20B85" w:rsidRDefault="00BF3190" w:rsidP="0007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6C0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F3190" w:rsidRPr="00B20B85">
              <w:rPr>
                <w:sz w:val="24"/>
                <w:szCs w:val="24"/>
              </w:rPr>
              <w:t xml:space="preserve"> год 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3E3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C5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A927AD">
            <w:pPr>
              <w:ind w:left="156" w:hanging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</w:tr>
      <w:tr w:rsidR="00801008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8" w:rsidRPr="00B20B85" w:rsidRDefault="00801008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Собственные доходы, всего,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943DBA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1089,5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943DBA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943DBA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1360,9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943DBA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1381,3</w:t>
            </w:r>
          </w:p>
        </w:tc>
      </w:tr>
      <w:tr w:rsidR="00801008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8" w:rsidRPr="00B20B85" w:rsidRDefault="00801008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801008" w:rsidP="006358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801008" w:rsidP="006358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801008" w:rsidP="006358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801008" w:rsidP="00635885">
            <w:pPr>
              <w:jc w:val="right"/>
              <w:rPr>
                <w:sz w:val="24"/>
                <w:szCs w:val="24"/>
              </w:rPr>
            </w:pPr>
          </w:p>
        </w:tc>
      </w:tr>
      <w:tr w:rsidR="00635885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85" w:rsidRPr="00B20B85" w:rsidRDefault="00635885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907,5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1076,3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1093,2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1108,6</w:t>
            </w:r>
          </w:p>
        </w:tc>
      </w:tr>
      <w:tr w:rsidR="00635885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85" w:rsidRPr="00B20B85" w:rsidRDefault="00635885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83,3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80,3</w:t>
            </w:r>
          </w:p>
        </w:tc>
      </w:tr>
      <w:tr w:rsidR="00635885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85" w:rsidRPr="00B20B85" w:rsidRDefault="00635885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182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262,7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272,7</w:t>
            </w:r>
          </w:p>
        </w:tc>
      </w:tr>
      <w:tr w:rsidR="00635885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85" w:rsidRPr="00B20B85" w:rsidRDefault="00635885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16,7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19,7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составляют налоговые доходы, их доля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654E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83,3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56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80,4 %, в 2021-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83,3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ожидается рост налоговых доходов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8010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68,8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18,6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6DB" w:rsidRDefault="0006306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2020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>сумме 197,0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с приростом к плану 2019 года на </w:t>
      </w:r>
      <w:r w:rsidR="007336DB">
        <w:rPr>
          <w:rFonts w:ascii="Times New Roman" w:hAnsi="Times New Roman" w:cs="Times New Roman"/>
          <w:sz w:val="24"/>
          <w:szCs w:val="24"/>
        </w:rPr>
        <w:t xml:space="preserve">9,4 %. Удельный вес налога составит </w:t>
      </w:r>
      <w:r w:rsidRPr="00063062">
        <w:rPr>
          <w:rFonts w:ascii="Times New Roman" w:hAnsi="Times New Roman" w:cs="Times New Roman"/>
          <w:sz w:val="24"/>
          <w:szCs w:val="24"/>
        </w:rPr>
        <w:t xml:space="preserve"> 14,7 % от общей суммы предполагаемых собственных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прогнознозируемый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объем поступления состави</w:t>
      </w:r>
      <w:r w:rsidR="008E2A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203,9 тыс. рублей</w:t>
      </w:r>
      <w:r>
        <w:rPr>
          <w:rFonts w:ascii="Times New Roman" w:hAnsi="Times New Roman" w:cs="Times New Roman"/>
          <w:sz w:val="24"/>
          <w:szCs w:val="24"/>
        </w:rPr>
        <w:t>, на 2022 год-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212,3 тыс. рублей.  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429,3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32%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плану 2019 года( 366,5 тыс. руб.) составит 62,8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17,1 %.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429,3 тыс. рублей, на 2022 год – 429,3 тыс. рублей. </w:t>
      </w:r>
    </w:p>
    <w:p w:rsidR="001D05CC" w:rsidRDefault="007336DB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диный сельскохозяйственный налог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30,0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 ежегодно. </w:t>
      </w:r>
      <w:r w:rsidR="001D05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налога  спланировано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со-снижением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1D05CC">
        <w:rPr>
          <w:rFonts w:ascii="Times New Roman" w:hAnsi="Times New Roman" w:cs="Times New Roman"/>
          <w:sz w:val="24"/>
          <w:szCs w:val="24"/>
        </w:rPr>
        <w:t xml:space="preserve"> утвержденному показателю  поступления  2019 года  на 14,3 % , или 5,0 тыс. руб. 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2,2%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D05CC" w:rsidRDefault="001D05CC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с приростом на 35,0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или 63,6 % утвержденному на 2019 год(55,0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, которое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90,0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доля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6,7 %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3062" w:rsidRPr="00063062" w:rsidRDefault="001D05CC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95,0 тыс. рублей, на 2022  год – 97,0 тыс. рублей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01C52" w:rsidRDefault="001D05CC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2020</w:t>
      </w:r>
      <w:r w:rsidR="00B01C52">
        <w:rPr>
          <w:rFonts w:ascii="Times New Roman" w:hAnsi="Times New Roman" w:cs="Times New Roman"/>
          <w:sz w:val="24"/>
          <w:szCs w:val="24"/>
        </w:rPr>
        <w:t xml:space="preserve">-2022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01C52">
        <w:rPr>
          <w:rFonts w:ascii="Times New Roman" w:hAnsi="Times New Roman" w:cs="Times New Roman"/>
          <w:sz w:val="24"/>
          <w:szCs w:val="24"/>
        </w:rPr>
        <w:t xml:space="preserve">ы , как и на 2019 год запланировано   по </w:t>
      </w:r>
      <w:r w:rsidR="00063062" w:rsidRPr="00063062">
        <w:rPr>
          <w:rFonts w:ascii="Times New Roman" w:hAnsi="Times New Roman" w:cs="Times New Roman"/>
          <w:sz w:val="24"/>
          <w:szCs w:val="24"/>
        </w:rPr>
        <w:t>20,0 тыс.  руб</w:t>
      </w:r>
      <w:r w:rsidR="00B01C52">
        <w:rPr>
          <w:rFonts w:ascii="Times New Roman" w:hAnsi="Times New Roman" w:cs="Times New Roman"/>
          <w:sz w:val="24"/>
          <w:szCs w:val="24"/>
        </w:rPr>
        <w:t>. ежегодно.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1,5 % от общей суммы предполагаемых собственных доходов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B01C52" w:rsidRDefault="00B01C5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ростом к утвержденному показателю предыдущего года(250,0 тыс. руб.) на 60,0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на 24,0 % , и составит 310,0 тыс. руб. Удельный вес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23,2%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062" w:rsidRPr="00063062" w:rsidRDefault="00B01C5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315,0 тыс. рублей, на 2022 год - 320,0 тыс. рублей. </w:t>
      </w:r>
    </w:p>
    <w:p w:rsidR="00063062" w:rsidRPr="003B0526" w:rsidRDefault="0006306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3B0526" w:rsidRDefault="00BF3190" w:rsidP="002C5B93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F3190" w:rsidRPr="00CE37C2" w:rsidRDefault="00BF3190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262,7,0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44,3 % , или 80,7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сумма плановая сумма поступления доходов составит 267,7 тыс. руб., на 2022 год- 272,7 тыс. руб. </w:t>
      </w:r>
    </w:p>
    <w:p w:rsidR="00BF3190" w:rsidRDefault="00BF3190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составе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979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 доходы, получаемые в виде арендной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в возмездное пользование муниципального имущества.</w:t>
      </w:r>
    </w:p>
    <w:p w:rsidR="00BF3190" w:rsidRPr="00CE37C2" w:rsidRDefault="00BF3190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Доля неналоговых доходов в доходах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Pr="003B0526" w:rsidRDefault="00BF3190" w:rsidP="00BF319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B0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объеме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2845,1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числе:</w:t>
      </w:r>
    </w:p>
    <w:p w:rsidR="00BF3190" w:rsidRPr="003B0526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на выравнивание уровня  бюджетной обеспеченности поселений – </w:t>
      </w:r>
      <w:r w:rsidR="00B06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132,0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F3190" w:rsidRDefault="00BF3190" w:rsidP="00BF319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6924" w:rsidRP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(кап. ремонт)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357,3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5765C" w:rsidRDefault="0015765C" w:rsidP="0015765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(содержание)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266,5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F3190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сельских поселений на осуществление п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ервичного воинского учета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территориях, где отсутствуют военные комиссариаты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89,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2BB5" w:rsidRPr="00722BB5" w:rsidRDefault="00722BB5" w:rsidP="0072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поступят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2627,4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722BB5" w:rsidRPr="00722BB5" w:rsidRDefault="00722BB5" w:rsidP="0072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дотации на выравнивание уровня  бюджетной обеспеченности поселений –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1915,0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22BB5" w:rsidRPr="00722BB5" w:rsidRDefault="00722BB5" w:rsidP="0072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пунктов–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622,3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22BB5" w:rsidRDefault="00722BB5" w:rsidP="0072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90,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C1BCC" w:rsidRPr="009C1BCC" w:rsidRDefault="009C1BCC" w:rsidP="009C1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б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езвозмездные поступления в объеме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2861,2 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9C1BCC" w:rsidRPr="009C1BCC" w:rsidRDefault="009C1BCC" w:rsidP="009C1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дотации на выравнивание уровня  бюджетной обеспеченности поселений –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1857,0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C1BCC" w:rsidRPr="009C1BCC" w:rsidRDefault="009C1BCC" w:rsidP="009C1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пунктов–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910,4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C1BCC" w:rsidRPr="003B0526" w:rsidRDefault="009C1BCC" w:rsidP="009C1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93,8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3B0526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68,0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65,9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67,4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proofErr w:type="spellStart"/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proofErr w:type="spellEnd"/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основным приоритетным направлениям развития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4331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331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направлениях бюджетной политики 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 </w:t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F11F4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показателями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 на 1149,3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21,5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,и составят 5333,4 тыс. руб.  На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195,8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4,7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3988,3 тыс. руб.  На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расходов составит 254,2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4252B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 </w:t>
      </w:r>
    </w:p>
    <w:p w:rsidR="00B232C0" w:rsidRPr="0074252B" w:rsidRDefault="00B232C0" w:rsidP="007425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Ind w:w="108" w:type="dxa"/>
        <w:tblLayout w:type="fixed"/>
        <w:tblLook w:val="01E0"/>
      </w:tblPr>
      <w:tblGrid>
        <w:gridCol w:w="2127"/>
        <w:gridCol w:w="567"/>
        <w:gridCol w:w="1275"/>
        <w:gridCol w:w="993"/>
        <w:gridCol w:w="992"/>
        <w:gridCol w:w="1134"/>
        <w:gridCol w:w="992"/>
        <w:gridCol w:w="993"/>
        <w:gridCol w:w="992"/>
      </w:tblGrid>
      <w:tr w:rsidR="00691CFC" w:rsidRPr="00A322B9" w:rsidTr="004E7214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4E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1CFC" w:rsidRPr="00A322B9">
              <w:rPr>
                <w:sz w:val="24"/>
                <w:szCs w:val="24"/>
              </w:rPr>
              <w:t xml:space="preserve"> год (</w:t>
            </w:r>
            <w:r w:rsidR="004E7214">
              <w:rPr>
                <w:sz w:val="24"/>
                <w:szCs w:val="24"/>
              </w:rPr>
              <w:t>решение о бюджете</w:t>
            </w:r>
            <w:r w:rsidR="00691CFC" w:rsidRPr="00A322B9">
              <w:rPr>
                <w:sz w:val="24"/>
                <w:szCs w:val="24"/>
              </w:rPr>
              <w:t>), тыс. руб.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Проект бюджета на:</w:t>
            </w:r>
          </w:p>
        </w:tc>
      </w:tr>
      <w:tr w:rsidR="00691CFC" w:rsidRPr="00A322B9" w:rsidTr="004E7214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</w:tr>
      <w:tr w:rsidR="00691CFC" w:rsidRPr="00A322B9" w:rsidTr="004E7214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55DF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1CFC" w:rsidRPr="00A322B9">
              <w:rPr>
                <w:sz w:val="24"/>
                <w:szCs w:val="24"/>
              </w:rPr>
              <w:t>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5C08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5333,4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4184,1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3988,3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4242,5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100</w:t>
            </w:r>
          </w:p>
        </w:tc>
      </w:tr>
      <w:tr w:rsidR="00083983" w:rsidRPr="00A322B9" w:rsidTr="004E7214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691CFC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5C0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1462,1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35,4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6,3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1051,6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31,6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6,5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1454,1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987,8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870,2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20,5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A322B9" w:rsidRDefault="00083983" w:rsidP="00F922DD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3,8</w:t>
            </w:r>
          </w:p>
        </w:tc>
      </w:tr>
      <w:tr w:rsidR="00083983" w:rsidRPr="00083983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F922DD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</w:tbl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</w:t>
      </w:r>
      <w:r w:rsid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426DA9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в объеме 1500,6 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ежегодно, или с приростом к 2020 году на 2,4 %. </w:t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– 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– 3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45" w:rsidRPr="00D54B45" w:rsidRDefault="00D54B45" w:rsidP="00D54B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подразделу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бюджетные ассигнования предусмотрены  в рамках муниципальной программы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«Развитие потенциала муниципального управления»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 средств, 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деятельности органов местного самоуправления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составляет 1192,3 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и  2022 годы  </w:t>
      </w:r>
      <w:r w:rsidR="00C7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1220,7 тыс. руб.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</w:t>
      </w:r>
    </w:p>
    <w:p w:rsidR="00D54B45" w:rsidRPr="00D54B45" w:rsidRDefault="00D54B45" w:rsidP="00D54B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подразделу  </w:t>
      </w: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«Резервные фонды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предусмотрены расходы в рамках муниципальной программы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финансами и муниципальным долгом</w:t>
      </w:r>
      <w:r w:rsidR="00C72587" w:rsidRPr="00C725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реализацию муниципальных полномочий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формированию резервного фонда администрации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427294" w:rsidRPr="0042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по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 </w:t>
      </w:r>
    </w:p>
    <w:p w:rsidR="00D844CF" w:rsidRDefault="00D54B45" w:rsidP="00BF31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="00422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22E59" w:rsidRPr="00D84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подразделу</w:t>
      </w:r>
      <w:r w:rsidR="00D844CF" w:rsidRPr="00D84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844CF" w:rsidRPr="00D844CF">
        <w:rPr>
          <w:rFonts w:ascii="Times New Roman" w:hAnsi="Times New Roman" w:cs="Times New Roman"/>
          <w:sz w:val="24"/>
          <w:szCs w:val="24"/>
        </w:rPr>
        <w:t>«Другие общегосударственные вопросы»</w:t>
      </w:r>
      <w:r w:rsidR="00D844CF">
        <w:rPr>
          <w:rFonts w:ascii="Times New Roman" w:hAnsi="Times New Roman" w:cs="Times New Roman"/>
          <w:sz w:val="24"/>
          <w:szCs w:val="24"/>
        </w:rPr>
        <w:t xml:space="preserve"> б</w:t>
      </w:r>
      <w:r w:rsidR="00422E59" w:rsidRPr="00422E59">
        <w:rPr>
          <w:rFonts w:ascii="Times New Roman" w:hAnsi="Times New Roman" w:cs="Times New Roman"/>
          <w:sz w:val="24"/>
          <w:szCs w:val="24"/>
        </w:rPr>
        <w:t>юджетные ассигнования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2020 год в размере 239,6  тыс. рублей</w:t>
      </w:r>
      <w:r w:rsidR="00D844CF">
        <w:rPr>
          <w:rFonts w:ascii="Times New Roman" w:hAnsi="Times New Roman" w:cs="Times New Roman"/>
          <w:sz w:val="24"/>
          <w:szCs w:val="24"/>
        </w:rPr>
        <w:t>,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или 5,7% от общей суммы прогнозируемых расходов</w:t>
      </w:r>
      <w:r w:rsidR="00D844CF">
        <w:rPr>
          <w:rFonts w:ascii="Times New Roman" w:hAnsi="Times New Roman" w:cs="Times New Roman"/>
          <w:sz w:val="24"/>
          <w:szCs w:val="24"/>
        </w:rPr>
        <w:t xml:space="preserve">. На </w:t>
      </w:r>
      <w:r w:rsidR="00422E59" w:rsidRPr="00422E59">
        <w:rPr>
          <w:rFonts w:ascii="Times New Roman" w:hAnsi="Times New Roman" w:cs="Times New Roman"/>
          <w:sz w:val="24"/>
          <w:szCs w:val="24"/>
        </w:rPr>
        <w:t>2021 год</w:t>
      </w:r>
      <w:r w:rsidR="00D844CF">
        <w:rPr>
          <w:rFonts w:ascii="Times New Roman" w:hAnsi="Times New Roman" w:cs="Times New Roman"/>
          <w:sz w:val="24"/>
          <w:szCs w:val="24"/>
        </w:rPr>
        <w:t xml:space="preserve"> предусматриваются  </w:t>
      </w:r>
      <w:r w:rsidR="00422E59" w:rsidRPr="00422E59">
        <w:rPr>
          <w:rFonts w:ascii="Times New Roman" w:hAnsi="Times New Roman" w:cs="Times New Roman"/>
          <w:sz w:val="24"/>
          <w:szCs w:val="24"/>
        </w:rPr>
        <w:t>246,3 тыс. рублей, на 2022 год – 246,3 тыс. рублей</w:t>
      </w:r>
      <w:r w:rsidR="00D844CF">
        <w:rPr>
          <w:rFonts w:ascii="Times New Roman" w:hAnsi="Times New Roman" w:cs="Times New Roman"/>
          <w:sz w:val="24"/>
          <w:szCs w:val="24"/>
        </w:rPr>
        <w:t xml:space="preserve">. 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</w:t>
      </w:r>
      <w:r w:rsidR="00D844CF">
        <w:rPr>
          <w:rFonts w:ascii="Times New Roman" w:hAnsi="Times New Roman" w:cs="Times New Roman"/>
          <w:sz w:val="24"/>
          <w:szCs w:val="24"/>
        </w:rPr>
        <w:t>На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выполнение других обязательств муниципального образования на оплату членского взноса в Совет муниципальных образований на 2020 год </w:t>
      </w:r>
      <w:r w:rsidR="00D844CF">
        <w:rPr>
          <w:rFonts w:ascii="Times New Roman" w:hAnsi="Times New Roman" w:cs="Times New Roman"/>
          <w:sz w:val="24"/>
          <w:szCs w:val="24"/>
        </w:rPr>
        <w:t xml:space="preserve">планируются выделить 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3,5 тыс. рублей, на 2021 год – 3,5 тыс. рублей, на 2022 год – 3,5 тыс. рублей</w:t>
      </w:r>
      <w:r w:rsidR="00D844CF">
        <w:rPr>
          <w:rFonts w:ascii="Times New Roman" w:hAnsi="Times New Roman" w:cs="Times New Roman"/>
          <w:sz w:val="24"/>
          <w:szCs w:val="24"/>
        </w:rPr>
        <w:t>.</w:t>
      </w:r>
    </w:p>
    <w:p w:rsidR="00D844CF" w:rsidRPr="00D844CF" w:rsidRDefault="00BF3190" w:rsidP="008E2A20">
      <w:pPr>
        <w:pBdr>
          <w:bottom w:val="single" w:sz="12" w:space="21" w:color="auto"/>
        </w:pBd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инансами и </w:t>
      </w:r>
      <w:proofErr w:type="spellStart"/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</w:t>
      </w:r>
      <w:proofErr w:type="spellEnd"/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89,3 тыс. рублей, или 2,1 % от общей суммы прогнозируемых расходов. </w:t>
      </w:r>
      <w:r w:rsidR="00D844CF">
        <w:rPr>
          <w:rFonts w:ascii="Times New Roman" w:hAnsi="Times New Roman" w:cs="Times New Roman"/>
          <w:sz w:val="24"/>
          <w:szCs w:val="24"/>
        </w:rPr>
        <w:t>Снижение к утвержденному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D844CF">
        <w:rPr>
          <w:rFonts w:ascii="Times New Roman" w:hAnsi="Times New Roman" w:cs="Times New Roman"/>
          <w:sz w:val="24"/>
          <w:szCs w:val="24"/>
        </w:rPr>
        <w:t xml:space="preserve"> бюджету 2019 года  составит 0,9 %.  На 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2021 год </w:t>
      </w:r>
      <w:r w:rsidR="00D844CF">
        <w:rPr>
          <w:rFonts w:ascii="Times New Roman" w:hAnsi="Times New Roman" w:cs="Times New Roman"/>
          <w:sz w:val="24"/>
          <w:szCs w:val="24"/>
        </w:rPr>
        <w:t xml:space="preserve">планируется к утверждению 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90,1 тыс. рублей, на 2022 год – 93,8 тыс. рублей.</w:t>
      </w:r>
    </w:p>
    <w:p w:rsidR="00D844CF" w:rsidRDefault="00BF3190" w:rsidP="00BA0E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21923" w:rsidRP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DA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6,1 %, 6,0%, и 6,3 % соответственно. </w:t>
      </w:r>
    </w:p>
    <w:p w:rsidR="00BF3190" w:rsidRPr="00F11F4A" w:rsidRDefault="00BF3190" w:rsidP="008E2A20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экономика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расходы в рамках муниципальн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"Развитие транспортной системы "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данной программы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 бюджетные ассигнования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1053,0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603,6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, 36,4 % меньше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а( 1656,6 тыс. руб.).</w:t>
      </w:r>
    </w:p>
    <w:p w:rsidR="00BF3190" w:rsidRDefault="00BF3190" w:rsidP="00A94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по разделу предусматриваются в сумме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051,6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339,7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25,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26,4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44437" w:rsidRDefault="00BF3190" w:rsidP="008E2A20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301,7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вдвое ниже запланированного уровня 2019 года (656,6 тыс. руб.). </w:t>
      </w:r>
    </w:p>
    <w:p w:rsidR="00BF3190" w:rsidRDefault="00344437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2021 год  2022 годы  предусматриваются к выделению средства бюджета по 276,3 тыс. руб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8,4 % ниже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2020 года.</w:t>
      </w:r>
    </w:p>
    <w:p w:rsidR="00BF3190" w:rsidRPr="00F11F4A" w:rsidRDefault="00136E68" w:rsidP="008E2A20">
      <w:pPr>
        <w:pBdr>
          <w:bottom w:val="single" w:sz="12" w:space="21" w:color="auto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 xml:space="preserve">Бюджетные ассигнования по данному подразделу предусмотрены на реализацию  муниципальной программы "Модернизация и развитие сферы жилищно-коммунального </w:t>
      </w:r>
      <w:r w:rsidR="00BA0E35">
        <w:rPr>
          <w:rFonts w:ascii="Times New Roman" w:hAnsi="Times New Roman" w:cs="Times New Roman"/>
          <w:sz w:val="24"/>
          <w:szCs w:val="24"/>
        </w:rPr>
        <w:t xml:space="preserve">хозяйства.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составит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6,9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6,5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Default="00BF3190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40561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</w:t>
      </w:r>
      <w:r w:rsidR="0040561B">
        <w:rPr>
          <w:rFonts w:ascii="Times New Roman" w:hAnsi="Times New Roman" w:cs="Times New Roman"/>
          <w:sz w:val="24"/>
          <w:szCs w:val="24"/>
        </w:rPr>
        <w:t xml:space="preserve"> предусмотрены  ассигнования </w:t>
      </w:r>
      <w:r w:rsidR="0040561B" w:rsidRPr="0040561B">
        <w:rPr>
          <w:rFonts w:ascii="Times New Roman" w:hAnsi="Times New Roman" w:cs="Times New Roman"/>
          <w:sz w:val="24"/>
          <w:szCs w:val="24"/>
        </w:rPr>
        <w:t>в сумме 1275,</w:t>
      </w:r>
      <w:r w:rsidR="0040561B">
        <w:rPr>
          <w:rFonts w:ascii="Times New Roman" w:hAnsi="Times New Roman" w:cs="Times New Roman"/>
          <w:sz w:val="24"/>
          <w:szCs w:val="24"/>
        </w:rPr>
        <w:t>0</w:t>
      </w:r>
      <w:r w:rsidR="0040561B" w:rsidRPr="0040561B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40561B">
        <w:rPr>
          <w:rFonts w:ascii="Times New Roman" w:hAnsi="Times New Roman" w:cs="Times New Roman"/>
          <w:sz w:val="24"/>
          <w:szCs w:val="24"/>
        </w:rPr>
        <w:t>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(1454,1 тыс. руб.) расходы  2020 года запланированы со- снижением  на 178,1 тыс. руб. ,или на 12,3 % .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 года  сумма выделяемых средств на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0561B">
        <w:rPr>
          <w:rFonts w:ascii="Times New Roman" w:hAnsi="Times New Roman" w:cs="Times New Roman"/>
          <w:sz w:val="24"/>
          <w:szCs w:val="24"/>
        </w:rPr>
        <w:t xml:space="preserve"> 987,8 тыс. рублей, на 2022 год – 870,2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40561B">
        <w:rPr>
          <w:rFonts w:ascii="Times New Roman" w:hAnsi="Times New Roman" w:cs="Times New Roman"/>
          <w:sz w:val="24"/>
          <w:szCs w:val="24"/>
        </w:rPr>
        <w:t xml:space="preserve">30,5%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,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2021 год – </w:t>
      </w:r>
      <w:r>
        <w:rPr>
          <w:rFonts w:ascii="Times New Roman" w:hAnsi="Times New Roman" w:cs="Times New Roman"/>
          <w:sz w:val="24"/>
          <w:szCs w:val="24"/>
        </w:rPr>
        <w:t xml:space="preserve">24,8%,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2022 год – </w:t>
      </w:r>
      <w:r>
        <w:rPr>
          <w:rFonts w:ascii="Times New Roman" w:hAnsi="Times New Roman" w:cs="Times New Roman"/>
          <w:sz w:val="24"/>
          <w:szCs w:val="24"/>
        </w:rPr>
        <w:t>20,5 %.</w:t>
      </w:r>
    </w:p>
    <w:p w:rsidR="00BF3190" w:rsidRPr="00511C71" w:rsidRDefault="00511C71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0565CF" w:rsidRPr="00B57FE9">
        <w:rPr>
          <w:sz w:val="24"/>
          <w:szCs w:val="24"/>
        </w:rPr>
        <w:t xml:space="preserve">91,9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161,9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proofErr w:type="spellStart"/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proofErr w:type="spellEnd"/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Новочурашевском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</w:t>
      </w:r>
      <w:r w:rsidR="002B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4184,1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3988,3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4242,5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4184,1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2021 год –3988,3 тыс. рублей, на 2022 год – 4242,5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81,9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161,9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proofErr w:type="spellStart"/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Контрольно-счетного </w:t>
      </w: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BF3190" w:rsidRPr="000B72ED" w:rsidRDefault="00D63A98" w:rsidP="00BF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36" w:rsidRDefault="00030E36" w:rsidP="00B1668B">
      <w:pPr>
        <w:spacing w:after="0" w:line="240" w:lineRule="auto"/>
      </w:pPr>
      <w:r>
        <w:separator/>
      </w:r>
    </w:p>
  </w:endnote>
  <w:endnote w:type="continuationSeparator" w:id="0">
    <w:p w:rsidR="00030E36" w:rsidRDefault="00030E36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36" w:rsidRDefault="00030E36" w:rsidP="00B1668B">
      <w:pPr>
        <w:spacing w:after="0" w:line="240" w:lineRule="auto"/>
      </w:pPr>
      <w:r>
        <w:separator/>
      </w:r>
    </w:p>
  </w:footnote>
  <w:footnote w:type="continuationSeparator" w:id="0">
    <w:p w:rsidR="00030E36" w:rsidRDefault="00030E36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7985"/>
    <w:rsid w:val="00030E36"/>
    <w:rsid w:val="00036767"/>
    <w:rsid w:val="0004144C"/>
    <w:rsid w:val="00042891"/>
    <w:rsid w:val="000565CF"/>
    <w:rsid w:val="00063062"/>
    <w:rsid w:val="00070853"/>
    <w:rsid w:val="00070C59"/>
    <w:rsid w:val="00076064"/>
    <w:rsid w:val="00082CC8"/>
    <w:rsid w:val="00083983"/>
    <w:rsid w:val="00093D75"/>
    <w:rsid w:val="000C0986"/>
    <w:rsid w:val="000C1F1C"/>
    <w:rsid w:val="000C4EEB"/>
    <w:rsid w:val="000C773C"/>
    <w:rsid w:val="000D6F88"/>
    <w:rsid w:val="000E4AF7"/>
    <w:rsid w:val="00104BC5"/>
    <w:rsid w:val="00123F68"/>
    <w:rsid w:val="00136E68"/>
    <w:rsid w:val="00140F45"/>
    <w:rsid w:val="001510D3"/>
    <w:rsid w:val="0015765C"/>
    <w:rsid w:val="00162E87"/>
    <w:rsid w:val="001816CA"/>
    <w:rsid w:val="001842CA"/>
    <w:rsid w:val="001A0E23"/>
    <w:rsid w:val="001D05CC"/>
    <w:rsid w:val="00200405"/>
    <w:rsid w:val="0023175C"/>
    <w:rsid w:val="002654BF"/>
    <w:rsid w:val="00291152"/>
    <w:rsid w:val="00294399"/>
    <w:rsid w:val="002B41C3"/>
    <w:rsid w:val="002B4369"/>
    <w:rsid w:val="002B4D95"/>
    <w:rsid w:val="002C0229"/>
    <w:rsid w:val="002C5B93"/>
    <w:rsid w:val="002C7A96"/>
    <w:rsid w:val="002D5656"/>
    <w:rsid w:val="002D7C4B"/>
    <w:rsid w:val="002F6DC9"/>
    <w:rsid w:val="002F7421"/>
    <w:rsid w:val="00321189"/>
    <w:rsid w:val="0032598E"/>
    <w:rsid w:val="00337962"/>
    <w:rsid w:val="00344437"/>
    <w:rsid w:val="0035748D"/>
    <w:rsid w:val="00360E0D"/>
    <w:rsid w:val="0037526F"/>
    <w:rsid w:val="0037772C"/>
    <w:rsid w:val="003804B9"/>
    <w:rsid w:val="00381A08"/>
    <w:rsid w:val="00391901"/>
    <w:rsid w:val="003979FD"/>
    <w:rsid w:val="003A037C"/>
    <w:rsid w:val="003C29F6"/>
    <w:rsid w:val="003C2E26"/>
    <w:rsid w:val="003E3B2D"/>
    <w:rsid w:val="003F0895"/>
    <w:rsid w:val="0040561B"/>
    <w:rsid w:val="00416004"/>
    <w:rsid w:val="004219FB"/>
    <w:rsid w:val="00422E59"/>
    <w:rsid w:val="00426DA9"/>
    <w:rsid w:val="00427294"/>
    <w:rsid w:val="00441CAB"/>
    <w:rsid w:val="00467B69"/>
    <w:rsid w:val="00483522"/>
    <w:rsid w:val="004B13AD"/>
    <w:rsid w:val="004E5AAC"/>
    <w:rsid w:val="004E7214"/>
    <w:rsid w:val="0050100A"/>
    <w:rsid w:val="00511C71"/>
    <w:rsid w:val="00515ACA"/>
    <w:rsid w:val="00516353"/>
    <w:rsid w:val="00540DA7"/>
    <w:rsid w:val="00541875"/>
    <w:rsid w:val="00564C6F"/>
    <w:rsid w:val="00574AF1"/>
    <w:rsid w:val="005A25BE"/>
    <w:rsid w:val="005C08DF"/>
    <w:rsid w:val="005C3245"/>
    <w:rsid w:val="005D2674"/>
    <w:rsid w:val="005E1E5C"/>
    <w:rsid w:val="005E39AC"/>
    <w:rsid w:val="00630C6D"/>
    <w:rsid w:val="00634331"/>
    <w:rsid w:val="00635885"/>
    <w:rsid w:val="00654751"/>
    <w:rsid w:val="00654E10"/>
    <w:rsid w:val="00655474"/>
    <w:rsid w:val="00655DFD"/>
    <w:rsid w:val="0066359D"/>
    <w:rsid w:val="00666B58"/>
    <w:rsid w:val="00681006"/>
    <w:rsid w:val="00691CFC"/>
    <w:rsid w:val="00692FE0"/>
    <w:rsid w:val="006C0A64"/>
    <w:rsid w:val="006C1974"/>
    <w:rsid w:val="006D21E0"/>
    <w:rsid w:val="006E2AFA"/>
    <w:rsid w:val="007046A9"/>
    <w:rsid w:val="007139F1"/>
    <w:rsid w:val="007150BE"/>
    <w:rsid w:val="0072039F"/>
    <w:rsid w:val="0072217C"/>
    <w:rsid w:val="00722BB5"/>
    <w:rsid w:val="007336DB"/>
    <w:rsid w:val="0074252B"/>
    <w:rsid w:val="007563E3"/>
    <w:rsid w:val="007613AC"/>
    <w:rsid w:val="007662BA"/>
    <w:rsid w:val="00774997"/>
    <w:rsid w:val="0078570D"/>
    <w:rsid w:val="007A40C5"/>
    <w:rsid w:val="007B6FDC"/>
    <w:rsid w:val="007C6219"/>
    <w:rsid w:val="007E4C78"/>
    <w:rsid w:val="007E5A2D"/>
    <w:rsid w:val="00801008"/>
    <w:rsid w:val="00817E68"/>
    <w:rsid w:val="00821923"/>
    <w:rsid w:val="00845D4A"/>
    <w:rsid w:val="00850A9B"/>
    <w:rsid w:val="00865A7D"/>
    <w:rsid w:val="00866E6F"/>
    <w:rsid w:val="00870D48"/>
    <w:rsid w:val="0088098D"/>
    <w:rsid w:val="008A77E8"/>
    <w:rsid w:val="008E2A20"/>
    <w:rsid w:val="00931E42"/>
    <w:rsid w:val="00942B4C"/>
    <w:rsid w:val="00943DBA"/>
    <w:rsid w:val="00951B74"/>
    <w:rsid w:val="00951D39"/>
    <w:rsid w:val="00960813"/>
    <w:rsid w:val="00970E23"/>
    <w:rsid w:val="009A1C28"/>
    <w:rsid w:val="009A37FF"/>
    <w:rsid w:val="009B52E0"/>
    <w:rsid w:val="009C1BCC"/>
    <w:rsid w:val="009C2909"/>
    <w:rsid w:val="00A057DF"/>
    <w:rsid w:val="00A2545E"/>
    <w:rsid w:val="00A724EA"/>
    <w:rsid w:val="00A76A58"/>
    <w:rsid w:val="00A927AD"/>
    <w:rsid w:val="00A94595"/>
    <w:rsid w:val="00AB31CF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3D7"/>
    <w:rsid w:val="00B357C3"/>
    <w:rsid w:val="00B43D19"/>
    <w:rsid w:val="00B7334C"/>
    <w:rsid w:val="00B853CD"/>
    <w:rsid w:val="00BA0E35"/>
    <w:rsid w:val="00BB3DF8"/>
    <w:rsid w:val="00BC7E0F"/>
    <w:rsid w:val="00BF3190"/>
    <w:rsid w:val="00C21EA4"/>
    <w:rsid w:val="00C56C50"/>
    <w:rsid w:val="00C641CF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D07636"/>
    <w:rsid w:val="00D118EA"/>
    <w:rsid w:val="00D137F0"/>
    <w:rsid w:val="00D170C1"/>
    <w:rsid w:val="00D417B1"/>
    <w:rsid w:val="00D43508"/>
    <w:rsid w:val="00D5479C"/>
    <w:rsid w:val="00D54B45"/>
    <w:rsid w:val="00D63A98"/>
    <w:rsid w:val="00D76A4C"/>
    <w:rsid w:val="00D844CF"/>
    <w:rsid w:val="00DA730C"/>
    <w:rsid w:val="00E00749"/>
    <w:rsid w:val="00E02E32"/>
    <w:rsid w:val="00E07A83"/>
    <w:rsid w:val="00E10833"/>
    <w:rsid w:val="00E13A6A"/>
    <w:rsid w:val="00E33644"/>
    <w:rsid w:val="00E34EAE"/>
    <w:rsid w:val="00E47499"/>
    <w:rsid w:val="00E62C64"/>
    <w:rsid w:val="00E670DF"/>
    <w:rsid w:val="00E70FCC"/>
    <w:rsid w:val="00E76557"/>
    <w:rsid w:val="00E82256"/>
    <w:rsid w:val="00E96867"/>
    <w:rsid w:val="00EB7DCC"/>
    <w:rsid w:val="00EE5D07"/>
    <w:rsid w:val="00EF2D4C"/>
    <w:rsid w:val="00EF5A01"/>
    <w:rsid w:val="00F13994"/>
    <w:rsid w:val="00F1775F"/>
    <w:rsid w:val="00F2725F"/>
    <w:rsid w:val="00F27429"/>
    <w:rsid w:val="00F521EE"/>
    <w:rsid w:val="00F53694"/>
    <w:rsid w:val="00F543F4"/>
    <w:rsid w:val="00F63343"/>
    <w:rsid w:val="00F656FC"/>
    <w:rsid w:val="00F67F03"/>
    <w:rsid w:val="00F76924"/>
    <w:rsid w:val="00F8591E"/>
    <w:rsid w:val="00F922DD"/>
    <w:rsid w:val="00F948EB"/>
    <w:rsid w:val="00FA6DE8"/>
    <w:rsid w:val="00FB34BA"/>
    <w:rsid w:val="00FD4981"/>
    <w:rsid w:val="00FE04AE"/>
    <w:rsid w:val="00FE6B44"/>
    <w:rsid w:val="00F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D7F6-77A6-4678-A67D-944BC0D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11</cp:revision>
  <cp:lastPrinted>2019-12-09T06:45:00Z</cp:lastPrinted>
  <dcterms:created xsi:type="dcterms:W3CDTF">2019-11-29T14:01:00Z</dcterms:created>
  <dcterms:modified xsi:type="dcterms:W3CDTF">2019-12-09T11:20:00Z</dcterms:modified>
</cp:coreProperties>
</file>