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294399" w:rsidRPr="009A1C28" w:rsidRDefault="0043666E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11.2019                                                                                                      № </w:t>
      </w:r>
      <w:r w:rsidR="006D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6D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6D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соответствует требованиям  Положения «О регулировании бюджетных правоотношений в </w:t>
      </w:r>
      <w:proofErr w:type="spellStart"/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6D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43666E" w:rsidRPr="00070853" w:rsidTr="00C46742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Pr="009A1C28" w:rsidRDefault="0043666E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26865,4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25554,5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25102,3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1E" w:rsidRDefault="00143854" w:rsidP="00C4674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26476,4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105,5</w:t>
            </w:r>
          </w:p>
        </w:tc>
      </w:tr>
      <w:tr w:rsidR="0043666E" w:rsidRPr="00070853" w:rsidTr="004B6354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Pr="009A1C28" w:rsidRDefault="0043666E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29545,3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25554,5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 w:rsidP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 w:rsidP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25102,3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26476,4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14385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105,5</w:t>
            </w:r>
          </w:p>
        </w:tc>
      </w:tr>
      <w:tr w:rsidR="00070853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9A1C28" w:rsidRDefault="00070853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C70B62" w:rsidRDefault="00143854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-26799,0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C70B62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C70B62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C70B62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43854">
        <w:rPr>
          <w:rFonts w:ascii="Times New Roman" w:eastAsia="Times New Roman" w:hAnsi="Times New Roman" w:cs="Times New Roman"/>
          <w:sz w:val="24"/>
          <w:szCs w:val="24"/>
          <w:lang w:eastAsia="ru-RU"/>
        </w:rPr>
        <w:t>4488,9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43854">
        <w:rPr>
          <w:rFonts w:ascii="Times New Roman" w:eastAsia="Times New Roman" w:hAnsi="Times New Roman" w:cs="Times New Roman"/>
          <w:sz w:val="24"/>
          <w:szCs w:val="24"/>
          <w:lang w:eastAsia="ru-RU"/>
        </w:rPr>
        <w:t>4152,1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43854">
        <w:rPr>
          <w:rFonts w:ascii="Times New Roman" w:eastAsia="Times New Roman" w:hAnsi="Times New Roman" w:cs="Times New Roman"/>
          <w:sz w:val="24"/>
          <w:szCs w:val="24"/>
          <w:lang w:eastAsia="ru-RU"/>
        </w:rPr>
        <w:t>4952,5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4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399,2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14385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814,1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Ибресинского городского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14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8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6D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Ибресинского городского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6D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6D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6D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Ибресинском</w:t>
      </w:r>
      <w:proofErr w:type="spellEnd"/>
      <w:r w:rsidR="006D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6D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CC75B2" w:rsidRDefault="00CC75B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742" w:rsidRDefault="00C4674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742" w:rsidRDefault="00C4674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974" w:rsidRPr="006D31C4" w:rsidRDefault="00C4674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C0229" w:rsidRPr="006D3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="002C0229" w:rsidRPr="006D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6D31C4" w:rsidRPr="006D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="002C0229" w:rsidRPr="006D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поселения.</w:t>
      </w:r>
    </w:p>
    <w:p w:rsidR="008E2A20" w:rsidRPr="002C0229" w:rsidRDefault="008E2A20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r w:rsidR="006D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сумме </w:t>
      </w:r>
      <w:r w:rsidR="00CC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25554,5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</w:t>
      </w:r>
      <w:r w:rsidR="00CC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4,9 %, или 1310,9 тыс. руб. ниже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уровня 2019 года ( </w:t>
      </w:r>
      <w:r w:rsidR="00CC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26865,4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руб.). Доходы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планируется со снижением  к 2020 году на </w:t>
      </w:r>
      <w:r w:rsidR="00CC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1,8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в сумме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25102,3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CC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увеличением к предыдущему году на 5,</w:t>
      </w:r>
      <w:r w:rsidR="00CC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, или в сумме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26476,4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CC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4B6354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4B6354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2019 год (решение о бюджете) сумма </w:t>
            </w:r>
          </w:p>
          <w:p w:rsidR="008E2A20" w:rsidRPr="002C0229" w:rsidRDefault="008E2A20" w:rsidP="004B6354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4B6354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4B6354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143854" w:rsidRPr="002C0229" w:rsidTr="004B6354">
        <w:trPr>
          <w:trHeight w:val="471"/>
        </w:trPr>
        <w:tc>
          <w:tcPr>
            <w:tcW w:w="1985" w:type="dxa"/>
            <w:shd w:val="clear" w:color="auto" w:fill="auto"/>
          </w:tcPr>
          <w:p w:rsidR="00143854" w:rsidRPr="002C0229" w:rsidRDefault="00143854" w:rsidP="00CC7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26865,4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25554,5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25102,3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24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26476,4</w:t>
            </w:r>
          </w:p>
        </w:tc>
        <w:tc>
          <w:tcPr>
            <w:tcW w:w="968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143854" w:rsidRPr="002C0229" w:rsidTr="004B6354">
        <w:trPr>
          <w:trHeight w:val="263"/>
        </w:trPr>
        <w:tc>
          <w:tcPr>
            <w:tcW w:w="1985" w:type="dxa"/>
            <w:shd w:val="clear" w:color="auto" w:fill="auto"/>
          </w:tcPr>
          <w:p w:rsidR="00143854" w:rsidRPr="002C0229" w:rsidRDefault="00143854" w:rsidP="0014385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 w:rsidP="0014385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 w:rsidP="0014385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 w:rsidP="0014385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 w:rsidP="0014385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 w:rsidP="0014385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143854" w:rsidRDefault="00143854" w:rsidP="0014385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143854" w:rsidRDefault="00143854" w:rsidP="0014385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43854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143854" w:rsidRPr="002C0229" w:rsidRDefault="00143854" w:rsidP="00CC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15540,1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16413,3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105,6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15965,3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97,3</w:t>
            </w:r>
          </w:p>
        </w:tc>
        <w:tc>
          <w:tcPr>
            <w:tcW w:w="1124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16281,3</w:t>
            </w:r>
          </w:p>
        </w:tc>
        <w:tc>
          <w:tcPr>
            <w:tcW w:w="968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102,0</w:t>
            </w:r>
          </w:p>
        </w:tc>
      </w:tr>
      <w:tr w:rsidR="00143854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143854" w:rsidRPr="002C0229" w:rsidRDefault="00143854" w:rsidP="00CC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68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43854" w:rsidRPr="002C0229" w:rsidTr="008E2A20">
        <w:tc>
          <w:tcPr>
            <w:tcW w:w="1985" w:type="dxa"/>
            <w:shd w:val="clear" w:color="auto" w:fill="auto"/>
          </w:tcPr>
          <w:p w:rsidR="00143854" w:rsidRPr="002C0229" w:rsidRDefault="00143854" w:rsidP="00CC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11325,3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9141,2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80,7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9137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100,0</w:t>
            </w:r>
          </w:p>
        </w:tc>
        <w:tc>
          <w:tcPr>
            <w:tcW w:w="1124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10195,1</w:t>
            </w:r>
          </w:p>
        </w:tc>
        <w:tc>
          <w:tcPr>
            <w:tcW w:w="968" w:type="dxa"/>
            <w:shd w:val="clear" w:color="auto" w:fill="auto"/>
          </w:tcPr>
          <w:p w:rsidR="00143854" w:rsidRDefault="00143854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111,6</w:t>
            </w:r>
          </w:p>
        </w:tc>
      </w:tr>
      <w:tr w:rsidR="00143854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143854" w:rsidRPr="002C0229" w:rsidRDefault="00143854" w:rsidP="00CC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68" w:type="dxa"/>
            <w:shd w:val="clear" w:color="auto" w:fill="auto"/>
          </w:tcPr>
          <w:p w:rsidR="00143854" w:rsidRDefault="001438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BF3190" w:rsidRPr="003B0526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r w:rsidR="00CC7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B6354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3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4B6354">
        <w:rPr>
          <w:rFonts w:ascii="Times New Roman" w:eastAsia="Times New Roman" w:hAnsi="Times New Roman" w:cs="Times New Roman"/>
          <w:sz w:val="24"/>
          <w:szCs w:val="24"/>
          <w:lang w:eastAsia="ru-RU"/>
        </w:rPr>
        <w:t>1098,5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Их доля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4B6354">
        <w:rPr>
          <w:rFonts w:ascii="Times New Roman" w:eastAsia="Times New Roman" w:hAnsi="Times New Roman" w:cs="Times New Roman"/>
          <w:sz w:val="24"/>
          <w:szCs w:val="24"/>
          <w:lang w:eastAsia="ru-RU"/>
        </w:rPr>
        <w:t>28,8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6354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>29,3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BF3190" w:rsidRPr="00865A7D" w:rsidRDefault="00BF3190" w:rsidP="008E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CC75B2">
        <w:rPr>
          <w:rFonts w:ascii="Times New Roman" w:eastAsia="Times New Roman" w:hAnsi="Times New Roman" w:cs="Times New Roman"/>
          <w:sz w:val="24"/>
          <w:szCs w:val="24"/>
          <w:lang w:eastAsia="ru-RU"/>
        </w:rPr>
        <w:t>16413,3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C75B2">
        <w:rPr>
          <w:rFonts w:ascii="Times New Roman" w:eastAsia="Times New Roman" w:hAnsi="Times New Roman" w:cs="Times New Roman"/>
          <w:sz w:val="24"/>
          <w:szCs w:val="24"/>
          <w:lang w:eastAsia="ru-RU"/>
        </w:rPr>
        <w:t>15965,3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тыс.рублей, 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C75B2">
        <w:rPr>
          <w:rFonts w:ascii="Times New Roman" w:eastAsia="Times New Roman" w:hAnsi="Times New Roman" w:cs="Times New Roman"/>
          <w:sz w:val="24"/>
          <w:szCs w:val="24"/>
          <w:lang w:eastAsia="ru-RU"/>
        </w:rPr>
        <w:t>16281,3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планом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безвозмездных поступлений на </w:t>
      </w:r>
      <w:r w:rsidR="00CC75B2">
        <w:rPr>
          <w:rFonts w:ascii="Times New Roman" w:eastAsia="Times New Roman" w:hAnsi="Times New Roman" w:cs="Times New Roman"/>
          <w:sz w:val="24"/>
          <w:szCs w:val="24"/>
          <w:lang w:eastAsia="ru-RU"/>
        </w:rPr>
        <w:t>19,7 %  и составит 9141,2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C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C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на уровне 2020 года  в сумме 9137,0 тыс. руб., </w:t>
      </w:r>
      <w:r w:rsidR="00F63343" w:rsidRPr="00F63343">
        <w:t xml:space="preserve"> 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C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343" w:rsidRP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="00CC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на 11,6 % и составит 10195,1 тыс. руб. </w:t>
      </w:r>
    </w:p>
    <w:p w:rsidR="00BF3190" w:rsidRPr="003B0526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6D31C4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6D31C4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p w:rsidR="00BF3190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4111"/>
        <w:gridCol w:w="1464"/>
        <w:gridCol w:w="1371"/>
        <w:gridCol w:w="1418"/>
        <w:gridCol w:w="1275"/>
      </w:tblGrid>
      <w:tr w:rsidR="00BF3190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0" w:rsidRPr="00B20B85" w:rsidRDefault="00BF3190" w:rsidP="0007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6C0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F3190" w:rsidRPr="00B20B85">
              <w:rPr>
                <w:sz w:val="24"/>
                <w:szCs w:val="24"/>
              </w:rPr>
              <w:t xml:space="preserve"> год 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3E3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C5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A927AD">
            <w:pPr>
              <w:ind w:left="156" w:hanging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</w:tr>
      <w:tr w:rsidR="0052689A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A" w:rsidRPr="00B20B85" w:rsidRDefault="0052689A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Собственные доходы, всего,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15540,1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16281</w:t>
            </w:r>
          </w:p>
        </w:tc>
      </w:tr>
      <w:tr w:rsidR="0052689A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A" w:rsidRPr="00B20B85" w:rsidRDefault="0052689A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689A" w:rsidRPr="00B20B85" w:rsidTr="00E867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A" w:rsidRPr="00B20B85" w:rsidRDefault="0052689A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12734,6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89A" w:rsidRDefault="0052689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13413,3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</w:t>
            </w:r>
          </w:p>
        </w:tc>
      </w:tr>
      <w:tr w:rsidR="0052689A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A" w:rsidRPr="00B20B85" w:rsidRDefault="0052689A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86,3</w:t>
            </w:r>
          </w:p>
        </w:tc>
      </w:tr>
      <w:tr w:rsidR="0052689A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A" w:rsidRPr="00B20B85" w:rsidRDefault="0052689A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2230</w:t>
            </w:r>
          </w:p>
        </w:tc>
      </w:tr>
      <w:tr w:rsidR="0052689A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A" w:rsidRPr="00B20B85" w:rsidRDefault="0052689A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A" w:rsidRDefault="0052689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13,7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составляют налоговые доходы, их доля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654E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509A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56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>81,7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2021-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>86,1</w:t>
      </w:r>
      <w:r w:rsidR="00E3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</w:t>
      </w:r>
      <w:r w:rsid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>86,3</w:t>
      </w:r>
      <w:r w:rsidR="00E3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соответственно.</w:t>
      </w:r>
    </w:p>
    <w:p w:rsidR="004E062B" w:rsidRDefault="00BF3190" w:rsidP="004E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ожидается рост налоговых доходов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678,7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2689A">
        <w:rPr>
          <w:rFonts w:ascii="Times New Roman" w:eastAsia="Times New Roman" w:hAnsi="Times New Roman" w:cs="Times New Roman"/>
          <w:sz w:val="24"/>
          <w:szCs w:val="24"/>
          <w:lang w:eastAsia="ru-RU"/>
        </w:rPr>
        <w:t>5,3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6DB" w:rsidRDefault="00063062" w:rsidP="004E062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A">
        <w:rPr>
          <w:rFonts w:ascii="Times New Roman" w:hAnsi="Times New Roman" w:cs="Times New Roman"/>
          <w:b/>
          <w:sz w:val="24"/>
          <w:szCs w:val="24"/>
        </w:rPr>
        <w:t>Поступление налога на доходы физических лиц</w:t>
      </w:r>
      <w:r w:rsidRPr="006A4E1A">
        <w:rPr>
          <w:rFonts w:ascii="Times New Roman" w:hAnsi="Times New Roman" w:cs="Times New Roman"/>
          <w:sz w:val="24"/>
          <w:szCs w:val="24"/>
        </w:rPr>
        <w:t xml:space="preserve"> на 2020 год  запланировано в сумме </w:t>
      </w:r>
      <w:r w:rsidR="0052689A">
        <w:rPr>
          <w:rFonts w:ascii="Times New Roman" w:hAnsi="Times New Roman" w:cs="Times New Roman"/>
          <w:sz w:val="24"/>
          <w:szCs w:val="24"/>
        </w:rPr>
        <w:t>6650,0</w:t>
      </w:r>
      <w:r w:rsidRPr="006A4E1A">
        <w:rPr>
          <w:rFonts w:ascii="Times New Roman" w:hAnsi="Times New Roman" w:cs="Times New Roman"/>
          <w:sz w:val="24"/>
          <w:szCs w:val="24"/>
        </w:rPr>
        <w:t xml:space="preserve"> тыс. рублей, или с приростом к плану 2019 года на </w:t>
      </w:r>
      <w:r w:rsidR="0052689A">
        <w:rPr>
          <w:rFonts w:ascii="Times New Roman" w:hAnsi="Times New Roman" w:cs="Times New Roman"/>
          <w:sz w:val="24"/>
          <w:szCs w:val="24"/>
        </w:rPr>
        <w:t>2,0</w:t>
      </w:r>
      <w:r w:rsidR="007336DB" w:rsidRPr="006A4E1A">
        <w:rPr>
          <w:rFonts w:ascii="Times New Roman" w:hAnsi="Times New Roman" w:cs="Times New Roman"/>
          <w:sz w:val="24"/>
          <w:szCs w:val="24"/>
        </w:rPr>
        <w:t xml:space="preserve"> %. Удельный вес налога составит </w:t>
      </w:r>
      <w:r w:rsidRPr="006A4E1A">
        <w:rPr>
          <w:rFonts w:ascii="Times New Roman" w:hAnsi="Times New Roman" w:cs="Times New Roman"/>
          <w:sz w:val="24"/>
          <w:szCs w:val="24"/>
        </w:rPr>
        <w:t xml:space="preserve"> </w:t>
      </w:r>
      <w:r w:rsidR="0052689A">
        <w:rPr>
          <w:rFonts w:ascii="Times New Roman" w:hAnsi="Times New Roman" w:cs="Times New Roman"/>
          <w:sz w:val="24"/>
          <w:szCs w:val="24"/>
        </w:rPr>
        <w:t>40,5</w:t>
      </w:r>
      <w:r w:rsidRPr="006A4E1A">
        <w:rPr>
          <w:rFonts w:ascii="Times New Roman" w:hAnsi="Times New Roman" w:cs="Times New Roman"/>
          <w:sz w:val="24"/>
          <w:szCs w:val="24"/>
        </w:rPr>
        <w:t xml:space="preserve"> % от общей суммы предполагаемых собственных доходов</w:t>
      </w:r>
      <w:r w:rsidR="007336DB" w:rsidRPr="006A4E1A">
        <w:rPr>
          <w:rFonts w:ascii="Times New Roman" w:hAnsi="Times New Roman" w:cs="Times New Roman"/>
          <w:sz w:val="24"/>
          <w:szCs w:val="24"/>
        </w:rPr>
        <w:t>.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прогнозируемый  объем поступления состави</w:t>
      </w:r>
      <w:r w:rsidR="008E2A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52689A">
        <w:rPr>
          <w:rFonts w:ascii="Times New Roman" w:hAnsi="Times New Roman" w:cs="Times New Roman"/>
          <w:sz w:val="24"/>
          <w:szCs w:val="24"/>
        </w:rPr>
        <w:t>6905,0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2022 год</w:t>
      </w:r>
      <w:r w:rsidR="004A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52689A">
        <w:rPr>
          <w:rFonts w:ascii="Times New Roman" w:hAnsi="Times New Roman" w:cs="Times New Roman"/>
          <w:sz w:val="24"/>
          <w:szCs w:val="24"/>
        </w:rPr>
        <w:t>7188,0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2689A">
        <w:rPr>
          <w:rFonts w:ascii="Times New Roman" w:hAnsi="Times New Roman" w:cs="Times New Roman"/>
          <w:sz w:val="24"/>
          <w:szCs w:val="24"/>
        </w:rPr>
        <w:t>1196,3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52689A">
        <w:rPr>
          <w:rFonts w:ascii="Times New Roman" w:hAnsi="Times New Roman" w:cs="Times New Roman"/>
          <w:sz w:val="24"/>
          <w:szCs w:val="24"/>
        </w:rPr>
        <w:t>7,3%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>. Прирост к плану 2019 года</w:t>
      </w:r>
      <w:r w:rsidR="0052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52689A">
        <w:rPr>
          <w:rFonts w:ascii="Times New Roman" w:hAnsi="Times New Roman" w:cs="Times New Roman"/>
          <w:sz w:val="24"/>
          <w:szCs w:val="24"/>
        </w:rPr>
        <w:t>994,6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</w:t>
      </w:r>
      <w:r w:rsidR="004A2E6F">
        <w:rPr>
          <w:rFonts w:ascii="Times New Roman" w:hAnsi="Times New Roman" w:cs="Times New Roman"/>
          <w:sz w:val="24"/>
          <w:szCs w:val="24"/>
        </w:rPr>
        <w:t xml:space="preserve"> </w:t>
      </w:r>
      <w:r w:rsidR="0052689A">
        <w:rPr>
          <w:rFonts w:ascii="Times New Roman" w:hAnsi="Times New Roman" w:cs="Times New Roman"/>
          <w:sz w:val="24"/>
          <w:szCs w:val="24"/>
        </w:rPr>
        <w:t>201,7</w:t>
      </w:r>
      <w:r w:rsidR="004A2E6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2689A">
        <w:rPr>
          <w:rFonts w:ascii="Times New Roman" w:hAnsi="Times New Roman" w:cs="Times New Roman"/>
          <w:sz w:val="24"/>
          <w:szCs w:val="24"/>
        </w:rPr>
        <w:t>20,3</w:t>
      </w:r>
      <w:r>
        <w:rPr>
          <w:rFonts w:ascii="Times New Roman" w:hAnsi="Times New Roman" w:cs="Times New Roman"/>
          <w:sz w:val="24"/>
          <w:szCs w:val="24"/>
        </w:rPr>
        <w:t xml:space="preserve"> %.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 w:rsidR="004A2E6F">
        <w:rPr>
          <w:rFonts w:ascii="Times New Roman" w:hAnsi="Times New Roman" w:cs="Times New Roman"/>
          <w:sz w:val="24"/>
          <w:szCs w:val="24"/>
        </w:rPr>
        <w:t>и 202</w:t>
      </w:r>
      <w:r w:rsidR="006B7549">
        <w:rPr>
          <w:rFonts w:ascii="Times New Roman" w:hAnsi="Times New Roman" w:cs="Times New Roman"/>
          <w:sz w:val="24"/>
          <w:szCs w:val="24"/>
        </w:rPr>
        <w:t>2</w:t>
      </w:r>
      <w:r w:rsidR="004A2E6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</w:t>
      </w:r>
      <w:r w:rsidR="004A2E6F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52689A">
        <w:rPr>
          <w:rFonts w:ascii="Times New Roman" w:hAnsi="Times New Roman" w:cs="Times New Roman"/>
          <w:sz w:val="24"/>
          <w:szCs w:val="24"/>
        </w:rPr>
        <w:t>1196,3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2E6F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CC" w:rsidRDefault="007336DB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диный сельскохозяйственный налог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6F">
        <w:rPr>
          <w:rFonts w:ascii="Times New Roman" w:hAnsi="Times New Roman" w:cs="Times New Roman"/>
          <w:sz w:val="24"/>
          <w:szCs w:val="24"/>
        </w:rPr>
        <w:t>на 2020 год</w:t>
      </w:r>
      <w:r w:rsidR="003F1481">
        <w:rPr>
          <w:rFonts w:ascii="Times New Roman" w:hAnsi="Times New Roman" w:cs="Times New Roman"/>
          <w:sz w:val="24"/>
          <w:szCs w:val="24"/>
        </w:rPr>
        <w:t xml:space="preserve"> планируется на уровне  плана 2019 года в сумме 15,0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F14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5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оступление налога  </w:t>
      </w:r>
      <w:r w:rsidR="004A2E6F">
        <w:rPr>
          <w:rFonts w:ascii="Times New Roman" w:hAnsi="Times New Roman" w:cs="Times New Roman"/>
          <w:sz w:val="24"/>
          <w:szCs w:val="24"/>
        </w:rPr>
        <w:t>на 2021</w:t>
      </w:r>
      <w:r w:rsidR="003F1481">
        <w:rPr>
          <w:rFonts w:ascii="Times New Roman" w:hAnsi="Times New Roman" w:cs="Times New Roman"/>
          <w:sz w:val="24"/>
          <w:szCs w:val="24"/>
        </w:rPr>
        <w:t xml:space="preserve">-2022 годы  также </w:t>
      </w:r>
      <w:r w:rsidR="004A2E6F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3F1481">
        <w:rPr>
          <w:rFonts w:ascii="Times New Roman" w:hAnsi="Times New Roman" w:cs="Times New Roman"/>
          <w:sz w:val="24"/>
          <w:szCs w:val="24"/>
        </w:rPr>
        <w:t xml:space="preserve"> в сумме 15,0 тыс. руб.</w:t>
      </w:r>
      <w:r w:rsidR="001D0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налога  </w:t>
      </w:r>
      <w:r w:rsidR="00723D17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3F1481">
        <w:rPr>
          <w:rFonts w:ascii="Times New Roman" w:hAnsi="Times New Roman" w:cs="Times New Roman"/>
          <w:sz w:val="24"/>
          <w:szCs w:val="24"/>
        </w:rPr>
        <w:t>0,1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401C6" w:rsidRDefault="001D05CC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>планир</w:t>
      </w:r>
      <w:r w:rsidR="006A1E18">
        <w:rPr>
          <w:rFonts w:ascii="Times New Roman" w:hAnsi="Times New Roman" w:cs="Times New Roman"/>
          <w:sz w:val="24"/>
          <w:szCs w:val="24"/>
        </w:rPr>
        <w:t xml:space="preserve">уется в сумме  1150,0 тыс. руб., что  ниже ожидаемого исполнения  </w:t>
      </w:r>
      <w:r w:rsidR="00DE56B7">
        <w:rPr>
          <w:rFonts w:ascii="Times New Roman" w:hAnsi="Times New Roman" w:cs="Times New Roman"/>
          <w:sz w:val="24"/>
          <w:szCs w:val="24"/>
        </w:rPr>
        <w:t xml:space="preserve">бюджета  за 2019 год </w:t>
      </w:r>
      <w:r w:rsidR="006A1E18">
        <w:rPr>
          <w:rFonts w:ascii="Times New Roman" w:hAnsi="Times New Roman" w:cs="Times New Roman"/>
          <w:sz w:val="24"/>
          <w:szCs w:val="24"/>
        </w:rPr>
        <w:t>(</w:t>
      </w:r>
      <w:r w:rsidR="00DE56B7">
        <w:rPr>
          <w:rFonts w:ascii="Times New Roman" w:hAnsi="Times New Roman" w:cs="Times New Roman"/>
          <w:sz w:val="24"/>
          <w:szCs w:val="24"/>
        </w:rPr>
        <w:t>1338,3</w:t>
      </w:r>
      <w:r w:rsidR="006A1E18">
        <w:rPr>
          <w:rFonts w:ascii="Times New Roman" w:hAnsi="Times New Roman" w:cs="Times New Roman"/>
          <w:sz w:val="24"/>
          <w:szCs w:val="24"/>
        </w:rPr>
        <w:t xml:space="preserve"> тыс. руб.)  на 188,3 тыс. руб.</w:t>
      </w:r>
      <w:r w:rsidR="00DE5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23D17">
        <w:rPr>
          <w:rFonts w:ascii="Times New Roman" w:hAnsi="Times New Roman" w:cs="Times New Roman"/>
          <w:sz w:val="24"/>
          <w:szCs w:val="24"/>
        </w:rPr>
        <w:t xml:space="preserve"> на </w:t>
      </w:r>
      <w:r w:rsidR="00DE56B7">
        <w:rPr>
          <w:rFonts w:ascii="Times New Roman" w:hAnsi="Times New Roman" w:cs="Times New Roman"/>
          <w:sz w:val="24"/>
          <w:szCs w:val="24"/>
        </w:rPr>
        <w:t>14,0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DE5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226" w:rsidRDefault="00DE56B7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4226">
        <w:rPr>
          <w:rFonts w:ascii="Times New Roman" w:hAnsi="Times New Roman" w:cs="Times New Roman"/>
          <w:b/>
          <w:sz w:val="24"/>
          <w:szCs w:val="24"/>
        </w:rPr>
        <w:t>По мнению Контрольно-счетно</w:t>
      </w:r>
      <w:r w:rsidR="000E4226" w:rsidRPr="000E4226">
        <w:rPr>
          <w:rFonts w:ascii="Times New Roman" w:hAnsi="Times New Roman" w:cs="Times New Roman"/>
          <w:b/>
          <w:sz w:val="24"/>
          <w:szCs w:val="24"/>
        </w:rPr>
        <w:t>го органа</w:t>
      </w:r>
      <w:r w:rsidRPr="000E4226">
        <w:rPr>
          <w:rFonts w:ascii="Times New Roman" w:hAnsi="Times New Roman" w:cs="Times New Roman"/>
          <w:b/>
          <w:sz w:val="24"/>
          <w:szCs w:val="24"/>
        </w:rPr>
        <w:t xml:space="preserve">  , </w:t>
      </w:r>
      <w:r w:rsidR="000E4226" w:rsidRPr="000E4226">
        <w:rPr>
          <w:rFonts w:ascii="Times New Roman" w:hAnsi="Times New Roman" w:cs="Times New Roman"/>
          <w:b/>
          <w:sz w:val="24"/>
          <w:szCs w:val="24"/>
        </w:rPr>
        <w:t xml:space="preserve">занижение </w:t>
      </w:r>
      <w:r w:rsidRPr="000E4226">
        <w:rPr>
          <w:rFonts w:ascii="Times New Roman" w:hAnsi="Times New Roman" w:cs="Times New Roman"/>
          <w:b/>
          <w:sz w:val="24"/>
          <w:szCs w:val="24"/>
        </w:rPr>
        <w:t xml:space="preserve">  планируемого объема поступления налога на имущество на 2020 год  от </w:t>
      </w:r>
      <w:r w:rsidR="000E4226" w:rsidRPr="000E4226">
        <w:rPr>
          <w:rFonts w:ascii="Times New Roman" w:hAnsi="Times New Roman" w:cs="Times New Roman"/>
          <w:b/>
          <w:sz w:val="24"/>
          <w:szCs w:val="24"/>
        </w:rPr>
        <w:t xml:space="preserve"> ожидаемой суммы поступления за 2019 год </w:t>
      </w:r>
      <w:r w:rsidRPr="000E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226" w:rsidRPr="000E4226">
        <w:rPr>
          <w:rFonts w:ascii="Times New Roman" w:hAnsi="Times New Roman" w:cs="Times New Roman"/>
          <w:b/>
          <w:sz w:val="24"/>
          <w:szCs w:val="24"/>
        </w:rPr>
        <w:t xml:space="preserve"> является необоснованным</w:t>
      </w:r>
      <w:r w:rsidR="000E4226">
        <w:rPr>
          <w:rFonts w:ascii="Times New Roman" w:hAnsi="Times New Roman" w:cs="Times New Roman"/>
          <w:sz w:val="24"/>
          <w:szCs w:val="24"/>
        </w:rPr>
        <w:t>.</w:t>
      </w:r>
    </w:p>
    <w:p w:rsidR="00063062" w:rsidRPr="00063062" w:rsidRDefault="000E4226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5CC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 и 2022 годов  по</w:t>
      </w:r>
      <w:r w:rsidR="001D05CC">
        <w:rPr>
          <w:rFonts w:ascii="Times New Roman" w:hAnsi="Times New Roman" w:cs="Times New Roman"/>
          <w:sz w:val="24"/>
          <w:szCs w:val="24"/>
        </w:rPr>
        <w:t xml:space="preserve">ступление </w:t>
      </w:r>
      <w:r>
        <w:rPr>
          <w:rFonts w:ascii="Times New Roman" w:hAnsi="Times New Roman" w:cs="Times New Roman"/>
          <w:sz w:val="24"/>
          <w:szCs w:val="24"/>
        </w:rPr>
        <w:t xml:space="preserve"> налога </w:t>
      </w:r>
      <w:r w:rsidR="001D05CC">
        <w:rPr>
          <w:rFonts w:ascii="Times New Roman" w:hAnsi="Times New Roman" w:cs="Times New Roman"/>
          <w:sz w:val="24"/>
          <w:szCs w:val="24"/>
        </w:rPr>
        <w:t xml:space="preserve">запланировано в сумме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1200,0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каждый год.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1C52" w:rsidRDefault="001D05CC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2020</w:t>
      </w:r>
      <w:r w:rsidR="00723D17">
        <w:rPr>
          <w:rFonts w:ascii="Times New Roman" w:hAnsi="Times New Roman" w:cs="Times New Roman"/>
          <w:sz w:val="24"/>
          <w:szCs w:val="24"/>
        </w:rPr>
        <w:t xml:space="preserve"> год </w:t>
      </w:r>
      <w:r w:rsidR="00D26CAC">
        <w:rPr>
          <w:rFonts w:ascii="Times New Roman" w:hAnsi="Times New Roman" w:cs="Times New Roman"/>
          <w:sz w:val="24"/>
          <w:szCs w:val="24"/>
        </w:rPr>
        <w:t xml:space="preserve"> </w:t>
      </w:r>
      <w:r w:rsidR="00723D17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B01C52">
        <w:rPr>
          <w:rFonts w:ascii="Times New Roman" w:hAnsi="Times New Roman" w:cs="Times New Roman"/>
          <w:sz w:val="24"/>
          <w:szCs w:val="24"/>
        </w:rPr>
        <w:t xml:space="preserve">  </w:t>
      </w:r>
      <w:r w:rsidR="00723D1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D26CA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26CAC">
        <w:rPr>
          <w:rFonts w:ascii="Times New Roman" w:hAnsi="Times New Roman" w:cs="Times New Roman"/>
          <w:sz w:val="24"/>
          <w:szCs w:val="24"/>
        </w:rPr>
        <w:t xml:space="preserve"> незначительным  снижением  к </w:t>
      </w:r>
      <w:r w:rsidR="00723D17">
        <w:rPr>
          <w:rFonts w:ascii="Times New Roman" w:hAnsi="Times New Roman" w:cs="Times New Roman"/>
          <w:sz w:val="24"/>
          <w:szCs w:val="24"/>
        </w:rPr>
        <w:t xml:space="preserve">2019 году  на </w:t>
      </w:r>
      <w:r w:rsidR="00D26CAC">
        <w:rPr>
          <w:rFonts w:ascii="Times New Roman" w:hAnsi="Times New Roman" w:cs="Times New Roman"/>
          <w:sz w:val="24"/>
          <w:szCs w:val="24"/>
        </w:rPr>
        <w:t>0,4 %  и составит 2700,0</w:t>
      </w:r>
      <w:r w:rsidR="00723D1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01C52">
        <w:rPr>
          <w:rFonts w:ascii="Times New Roman" w:hAnsi="Times New Roman" w:cs="Times New Roman"/>
          <w:sz w:val="24"/>
          <w:szCs w:val="24"/>
        </w:rPr>
        <w:t xml:space="preserve"> Удельный вес налога</w:t>
      </w:r>
      <w:r w:rsidR="00723D17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B01C52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6B7549">
        <w:rPr>
          <w:rFonts w:ascii="Times New Roman" w:hAnsi="Times New Roman" w:cs="Times New Roman"/>
          <w:sz w:val="24"/>
          <w:szCs w:val="24"/>
        </w:rPr>
        <w:t>16,5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от общей суммы предполагаемых собственных доходов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  <w:r w:rsidR="006B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49" w:rsidRDefault="006B7549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и 2022 год  планируемая сумма поступления   составит 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2710,0 </w:t>
      </w:r>
      <w:r w:rsidRPr="00063062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 и  2750,0  тыс. руб. соответственно.</w:t>
      </w:r>
    </w:p>
    <w:p w:rsidR="006B7549" w:rsidRDefault="00B01C5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 </w:t>
      </w:r>
      <w:r w:rsidR="00723D17">
        <w:rPr>
          <w:rFonts w:ascii="Times New Roman" w:hAnsi="Times New Roman" w:cs="Times New Roman"/>
          <w:sz w:val="24"/>
          <w:szCs w:val="24"/>
        </w:rPr>
        <w:t xml:space="preserve">со снижением </w:t>
      </w:r>
      <w:r>
        <w:rPr>
          <w:rFonts w:ascii="Times New Roman" w:hAnsi="Times New Roman" w:cs="Times New Roman"/>
          <w:sz w:val="24"/>
          <w:szCs w:val="24"/>
        </w:rPr>
        <w:t xml:space="preserve"> к утвержденному показателю предыдущего года(</w:t>
      </w:r>
      <w:r w:rsidR="006B7549">
        <w:rPr>
          <w:rFonts w:ascii="Times New Roman" w:hAnsi="Times New Roman" w:cs="Times New Roman"/>
          <w:sz w:val="24"/>
          <w:szCs w:val="24"/>
        </w:rPr>
        <w:t>1710,0</w:t>
      </w:r>
      <w:r>
        <w:rPr>
          <w:rFonts w:ascii="Times New Roman" w:hAnsi="Times New Roman" w:cs="Times New Roman"/>
          <w:sz w:val="24"/>
          <w:szCs w:val="24"/>
        </w:rPr>
        <w:t xml:space="preserve"> тыс. руб.) на </w:t>
      </w:r>
      <w:r w:rsidR="006B7549">
        <w:rPr>
          <w:rFonts w:ascii="Times New Roman" w:hAnsi="Times New Roman" w:cs="Times New Roman"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B7549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 , и составит </w:t>
      </w:r>
      <w:r w:rsidR="006B7549">
        <w:rPr>
          <w:rFonts w:ascii="Times New Roman" w:hAnsi="Times New Roman" w:cs="Times New Roman"/>
          <w:sz w:val="24"/>
          <w:szCs w:val="24"/>
        </w:rPr>
        <w:t>1700,0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01C52" w:rsidRDefault="00B01C5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Удельный вес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6B7549">
        <w:rPr>
          <w:rFonts w:ascii="Times New Roman" w:hAnsi="Times New Roman" w:cs="Times New Roman"/>
          <w:sz w:val="24"/>
          <w:szCs w:val="24"/>
        </w:rPr>
        <w:t>10,4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F93" w:rsidRDefault="00B01C52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>поступление запланировано</w:t>
      </w:r>
      <w:r w:rsidR="00723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6B7549">
        <w:rPr>
          <w:rFonts w:ascii="Times New Roman" w:hAnsi="Times New Roman" w:cs="Times New Roman"/>
          <w:sz w:val="24"/>
          <w:szCs w:val="24"/>
        </w:rPr>
        <w:t>1710,0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2022 год - </w:t>
      </w:r>
      <w:r w:rsidR="006B7549">
        <w:rPr>
          <w:rFonts w:ascii="Times New Roman" w:hAnsi="Times New Roman" w:cs="Times New Roman"/>
          <w:sz w:val="24"/>
          <w:szCs w:val="24"/>
        </w:rPr>
        <w:t>1700,0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B7549" w:rsidRDefault="006B7549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 </w:t>
      </w:r>
      <w:r w:rsidRPr="006B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госпошлины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плановый период </w:t>
      </w:r>
      <w:r w:rsidRPr="006B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2,0 тыс. руб. ежегодно.</w:t>
      </w:r>
    </w:p>
    <w:p w:rsidR="006B7549" w:rsidRPr="006B7549" w:rsidRDefault="006B7549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354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Неналоговые доходы</w:t>
      </w:r>
      <w:r w:rsidRP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3000,0 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что на </w:t>
      </w:r>
      <w:r w:rsidR="006B7549">
        <w:rPr>
          <w:rFonts w:ascii="Times New Roman" w:eastAsia="Times New Roman" w:hAnsi="Times New Roman" w:cs="Times New Roman"/>
          <w:sz w:val="24"/>
          <w:szCs w:val="24"/>
          <w:lang w:eastAsia="ru-RU"/>
        </w:rPr>
        <w:t>7,0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или </w:t>
      </w:r>
      <w:r w:rsidR="00FF0354">
        <w:rPr>
          <w:rFonts w:ascii="Times New Roman" w:eastAsia="Times New Roman" w:hAnsi="Times New Roman" w:cs="Times New Roman"/>
          <w:sz w:val="24"/>
          <w:szCs w:val="24"/>
          <w:lang w:eastAsia="ru-RU"/>
        </w:rPr>
        <w:t>194,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354" w:rsidRDefault="00B06073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сумма плановая сумма поступления доходов составит </w:t>
      </w:r>
      <w:r w:rsidR="00FF0354">
        <w:rPr>
          <w:rFonts w:ascii="Times New Roman" w:eastAsia="Times New Roman" w:hAnsi="Times New Roman" w:cs="Times New Roman"/>
          <w:sz w:val="24"/>
          <w:szCs w:val="24"/>
          <w:lang w:eastAsia="ru-RU"/>
        </w:rPr>
        <w:t>2227,0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на 2022 год</w:t>
      </w:r>
      <w:r w:rsidR="00FF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0354">
        <w:rPr>
          <w:rFonts w:ascii="Times New Roman" w:eastAsia="Times New Roman" w:hAnsi="Times New Roman" w:cs="Times New Roman"/>
          <w:sz w:val="24"/>
          <w:szCs w:val="24"/>
          <w:lang w:eastAsia="ru-RU"/>
        </w:rPr>
        <w:t>2230,0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F0354" w:rsidRPr="00C46742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неналоговых доходов на </w:t>
      </w:r>
      <w:r w:rsidR="00F922DD"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979FD"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запланированы  </w:t>
      </w:r>
      <w:r w:rsidR="00FF0354"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доходы</w:t>
      </w:r>
      <w:r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0354"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354" w:rsidRDefault="00FF0354" w:rsidP="00C4674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37E">
        <w:rPr>
          <w:rFonts w:ascii="Times New Roman" w:hAnsi="Times New Roman" w:cs="Times New Roman"/>
          <w:b/>
          <w:sz w:val="24"/>
          <w:szCs w:val="24"/>
        </w:rPr>
        <w:t>доходы, получаемые в виде арендной платы за земельные участки</w:t>
      </w:r>
      <w:r w:rsidRPr="00A9337E">
        <w:rPr>
          <w:rFonts w:ascii="Times New Roman" w:hAnsi="Times New Roman" w:cs="Times New Roman"/>
          <w:sz w:val="24"/>
          <w:szCs w:val="24"/>
        </w:rPr>
        <w:t xml:space="preserve"> </w:t>
      </w:r>
      <w:r w:rsidRPr="00A9337E">
        <w:rPr>
          <w:rFonts w:ascii="Times New Roman" w:hAnsi="Times New Roman" w:cs="Times New Roman"/>
          <w:b/>
          <w:sz w:val="24"/>
          <w:szCs w:val="24"/>
        </w:rPr>
        <w:t>госсобственность на которые не разграничена</w:t>
      </w:r>
      <w:r w:rsidR="00A9337E" w:rsidRPr="00A9337E">
        <w:rPr>
          <w:rFonts w:ascii="Times New Roman" w:hAnsi="Times New Roman" w:cs="Times New Roman"/>
          <w:b/>
          <w:sz w:val="24"/>
          <w:szCs w:val="24"/>
        </w:rPr>
        <w:t xml:space="preserve"> , в 2020 году  планируются в сумме </w:t>
      </w:r>
      <w:r w:rsidRPr="00A9337E">
        <w:rPr>
          <w:rFonts w:ascii="Times New Roman" w:hAnsi="Times New Roman" w:cs="Times New Roman"/>
          <w:sz w:val="24"/>
          <w:szCs w:val="24"/>
        </w:rPr>
        <w:t xml:space="preserve"> 300,0 тыс. рублей</w:t>
      </w:r>
      <w:r w:rsidR="00A9337E">
        <w:rPr>
          <w:rFonts w:ascii="Times New Roman" w:hAnsi="Times New Roman" w:cs="Times New Roman"/>
          <w:sz w:val="24"/>
          <w:szCs w:val="24"/>
        </w:rPr>
        <w:t xml:space="preserve">, что составляет или 98,4 % к утвержденному на 2019 год. На 2021 год  планируется в сумме </w:t>
      </w:r>
      <w:r w:rsidRPr="00A9337E">
        <w:rPr>
          <w:rFonts w:ascii="Times New Roman" w:hAnsi="Times New Roman" w:cs="Times New Roman"/>
          <w:sz w:val="24"/>
          <w:szCs w:val="24"/>
        </w:rPr>
        <w:t xml:space="preserve"> 227,0 тыс. рублей, на 2022 год – 230,0 тыс. рублей</w:t>
      </w:r>
      <w:r w:rsidR="00C728AB">
        <w:rPr>
          <w:rFonts w:ascii="Times New Roman" w:hAnsi="Times New Roman" w:cs="Times New Roman"/>
          <w:sz w:val="24"/>
          <w:szCs w:val="24"/>
        </w:rPr>
        <w:t>.</w:t>
      </w:r>
    </w:p>
    <w:p w:rsidR="00FF0354" w:rsidRDefault="00FF0354" w:rsidP="00FA6E9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37E">
        <w:rPr>
          <w:rFonts w:ascii="Times New Roman" w:hAnsi="Times New Roman" w:cs="Times New Roman"/>
          <w:sz w:val="24"/>
          <w:szCs w:val="24"/>
        </w:rPr>
        <w:t xml:space="preserve">- </w:t>
      </w:r>
      <w:r w:rsidRPr="00A9337E">
        <w:rPr>
          <w:rFonts w:ascii="Times New Roman" w:hAnsi="Times New Roman" w:cs="Times New Roman"/>
          <w:b/>
          <w:sz w:val="24"/>
          <w:szCs w:val="24"/>
        </w:rPr>
        <w:t>доходы от сдачи в аренду имущества, находящегося в оперативном управлении органов управления городских поселений</w:t>
      </w:r>
      <w:r w:rsidRPr="00A9337E">
        <w:rPr>
          <w:rFonts w:ascii="Times New Roman" w:hAnsi="Times New Roman" w:cs="Times New Roman"/>
          <w:sz w:val="24"/>
          <w:szCs w:val="24"/>
        </w:rPr>
        <w:t xml:space="preserve"> </w:t>
      </w:r>
      <w:r w:rsidR="00C728AB">
        <w:rPr>
          <w:rFonts w:ascii="Times New Roman" w:hAnsi="Times New Roman" w:cs="Times New Roman"/>
          <w:sz w:val="24"/>
          <w:szCs w:val="24"/>
        </w:rPr>
        <w:t xml:space="preserve">в 2020 году  планируются </w:t>
      </w:r>
      <w:r w:rsidRPr="00A9337E">
        <w:rPr>
          <w:rFonts w:ascii="Times New Roman" w:hAnsi="Times New Roman" w:cs="Times New Roman"/>
          <w:sz w:val="24"/>
          <w:szCs w:val="24"/>
        </w:rPr>
        <w:t>в сумме 310 тыс. рублей</w:t>
      </w:r>
      <w:r w:rsidR="00C728AB">
        <w:rPr>
          <w:rFonts w:ascii="Times New Roman" w:hAnsi="Times New Roman" w:cs="Times New Roman"/>
          <w:sz w:val="24"/>
          <w:szCs w:val="24"/>
        </w:rPr>
        <w:t xml:space="preserve">, что составляет 134,3 % а плану 2019 года. Удельный вес доходов  составит </w:t>
      </w:r>
      <w:r w:rsidRPr="00A9337E">
        <w:rPr>
          <w:rFonts w:ascii="Times New Roman" w:hAnsi="Times New Roman" w:cs="Times New Roman"/>
          <w:sz w:val="24"/>
          <w:szCs w:val="24"/>
        </w:rPr>
        <w:t xml:space="preserve"> 1,9% от общей суммы предполагаемых собственных </w:t>
      </w:r>
      <w:proofErr w:type="spellStart"/>
      <w:r w:rsidRPr="00A9337E">
        <w:rPr>
          <w:rFonts w:ascii="Times New Roman" w:hAnsi="Times New Roman" w:cs="Times New Roman"/>
          <w:sz w:val="24"/>
          <w:szCs w:val="24"/>
        </w:rPr>
        <w:t>доходов</w:t>
      </w:r>
      <w:r w:rsidR="00C728AB">
        <w:rPr>
          <w:rFonts w:ascii="Times New Roman" w:hAnsi="Times New Roman" w:cs="Times New Roman"/>
          <w:sz w:val="24"/>
          <w:szCs w:val="24"/>
        </w:rPr>
        <w:t>.На</w:t>
      </w:r>
      <w:proofErr w:type="spellEnd"/>
      <w:r w:rsidR="00C728AB">
        <w:rPr>
          <w:rFonts w:ascii="Times New Roman" w:hAnsi="Times New Roman" w:cs="Times New Roman"/>
          <w:sz w:val="24"/>
          <w:szCs w:val="24"/>
        </w:rPr>
        <w:t xml:space="preserve"> </w:t>
      </w:r>
      <w:r w:rsidRPr="00A9337E">
        <w:rPr>
          <w:rFonts w:ascii="Times New Roman" w:hAnsi="Times New Roman" w:cs="Times New Roman"/>
          <w:sz w:val="24"/>
          <w:szCs w:val="24"/>
        </w:rPr>
        <w:t xml:space="preserve"> 2021  </w:t>
      </w:r>
      <w:r w:rsidR="00C728AB">
        <w:rPr>
          <w:rFonts w:ascii="Times New Roman" w:hAnsi="Times New Roman" w:cs="Times New Roman"/>
          <w:sz w:val="24"/>
          <w:szCs w:val="24"/>
        </w:rPr>
        <w:t xml:space="preserve"> и 2022 годы сумма поступления  доходов планируется также в сумме  по </w:t>
      </w:r>
      <w:r w:rsidRPr="00A9337E">
        <w:rPr>
          <w:rFonts w:ascii="Times New Roman" w:hAnsi="Times New Roman" w:cs="Times New Roman"/>
          <w:sz w:val="24"/>
          <w:szCs w:val="24"/>
        </w:rPr>
        <w:t>310,0 тыс. рублей</w:t>
      </w:r>
      <w:r w:rsidR="00C728AB">
        <w:rPr>
          <w:rFonts w:ascii="Times New Roman" w:hAnsi="Times New Roman" w:cs="Times New Roman"/>
          <w:sz w:val="24"/>
          <w:szCs w:val="24"/>
        </w:rPr>
        <w:t>;</w:t>
      </w:r>
    </w:p>
    <w:p w:rsidR="00FF0354" w:rsidRPr="00A9337E" w:rsidRDefault="00FF0354" w:rsidP="00FA6E95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8AB">
        <w:rPr>
          <w:rFonts w:ascii="Times New Roman" w:hAnsi="Times New Roman" w:cs="Times New Roman"/>
          <w:b/>
          <w:sz w:val="24"/>
          <w:szCs w:val="24"/>
        </w:rPr>
        <w:t>- прочие поступления от использования имущества</w:t>
      </w:r>
      <w:r w:rsidRPr="00C728AB"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городских поселений </w:t>
      </w:r>
      <w:r w:rsidR="00C728AB" w:rsidRPr="00C728AB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</w:t>
      </w:r>
      <w:r w:rsidR="00FA6E95">
        <w:rPr>
          <w:rFonts w:ascii="Times New Roman" w:hAnsi="Times New Roman" w:cs="Times New Roman"/>
          <w:sz w:val="24"/>
          <w:szCs w:val="24"/>
        </w:rPr>
        <w:t xml:space="preserve"> планируется ежегодно в </w:t>
      </w:r>
      <w:r w:rsidRPr="00C728AB">
        <w:rPr>
          <w:rFonts w:ascii="Times New Roman" w:hAnsi="Times New Roman" w:cs="Times New Roman"/>
          <w:sz w:val="24"/>
          <w:szCs w:val="24"/>
        </w:rPr>
        <w:t xml:space="preserve"> </w:t>
      </w:r>
      <w:r w:rsidRPr="00A9337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A6E95">
        <w:rPr>
          <w:rFonts w:ascii="Times New Roman" w:hAnsi="Times New Roman" w:cs="Times New Roman"/>
          <w:sz w:val="24"/>
          <w:szCs w:val="24"/>
        </w:rPr>
        <w:t xml:space="preserve">по </w:t>
      </w:r>
      <w:r w:rsidRPr="00A9337E">
        <w:rPr>
          <w:rFonts w:ascii="Times New Roman" w:hAnsi="Times New Roman" w:cs="Times New Roman"/>
          <w:sz w:val="24"/>
          <w:szCs w:val="24"/>
        </w:rPr>
        <w:t>600,0 тыс. рублей</w:t>
      </w:r>
      <w:r w:rsidR="00FA6E95">
        <w:rPr>
          <w:rFonts w:ascii="Times New Roman" w:hAnsi="Times New Roman" w:cs="Times New Roman"/>
          <w:sz w:val="24"/>
          <w:szCs w:val="24"/>
        </w:rPr>
        <w:t xml:space="preserve">. Прирост к плану 2019 года  составит 50,0 тыс. </w:t>
      </w:r>
      <w:proofErr w:type="spellStart"/>
      <w:r w:rsidR="00FA6E9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A6E95">
        <w:rPr>
          <w:rFonts w:ascii="Times New Roman" w:hAnsi="Times New Roman" w:cs="Times New Roman"/>
          <w:sz w:val="24"/>
          <w:szCs w:val="24"/>
        </w:rPr>
        <w:t>, или 9%.</w:t>
      </w:r>
      <w:r w:rsidR="00FA6E95" w:rsidRPr="00FA6E95">
        <w:rPr>
          <w:rFonts w:ascii="Times New Roman" w:hAnsi="Times New Roman" w:cs="Times New Roman"/>
          <w:sz w:val="24"/>
          <w:szCs w:val="24"/>
        </w:rPr>
        <w:t xml:space="preserve"> </w:t>
      </w:r>
      <w:r w:rsidR="00FA6E95">
        <w:rPr>
          <w:rFonts w:ascii="Times New Roman" w:hAnsi="Times New Roman" w:cs="Times New Roman"/>
          <w:sz w:val="24"/>
          <w:szCs w:val="24"/>
        </w:rPr>
        <w:t>Удельный вес доходов составит 3,6</w:t>
      </w:r>
      <w:r w:rsidR="00FA6E95" w:rsidRPr="00A9337E">
        <w:rPr>
          <w:rFonts w:ascii="Times New Roman" w:hAnsi="Times New Roman" w:cs="Times New Roman"/>
          <w:sz w:val="24"/>
          <w:szCs w:val="24"/>
        </w:rPr>
        <w:t xml:space="preserve">% от общей суммы предполагаемых собственных </w:t>
      </w:r>
    </w:p>
    <w:p w:rsidR="00FA6E95" w:rsidRDefault="00FF0354" w:rsidP="00A9337E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37E">
        <w:rPr>
          <w:rFonts w:ascii="Times New Roman" w:hAnsi="Times New Roman" w:cs="Times New Roman"/>
          <w:b/>
          <w:sz w:val="24"/>
          <w:szCs w:val="24"/>
        </w:rPr>
        <w:t>- доходы, поступающие в порядке возмещения расходов, понесенных в связи с эксплуатацией имущества городских поселений</w:t>
      </w:r>
      <w:r w:rsidRPr="00A9337E">
        <w:rPr>
          <w:rFonts w:ascii="Times New Roman" w:hAnsi="Times New Roman" w:cs="Times New Roman"/>
          <w:sz w:val="24"/>
          <w:szCs w:val="24"/>
        </w:rPr>
        <w:t xml:space="preserve"> </w:t>
      </w:r>
      <w:r w:rsidR="00FA6E95">
        <w:rPr>
          <w:rFonts w:ascii="Times New Roman" w:hAnsi="Times New Roman" w:cs="Times New Roman"/>
          <w:sz w:val="24"/>
          <w:szCs w:val="24"/>
        </w:rPr>
        <w:t xml:space="preserve">планируется  ежегодно по </w:t>
      </w:r>
      <w:r w:rsidRPr="00A9337E">
        <w:rPr>
          <w:rFonts w:ascii="Times New Roman" w:hAnsi="Times New Roman" w:cs="Times New Roman"/>
          <w:sz w:val="24"/>
          <w:szCs w:val="24"/>
        </w:rPr>
        <w:t xml:space="preserve"> 90,0 тыс. рублей</w:t>
      </w:r>
      <w:r w:rsidR="00FA6E95">
        <w:rPr>
          <w:rFonts w:ascii="Times New Roman" w:hAnsi="Times New Roman" w:cs="Times New Roman"/>
          <w:sz w:val="24"/>
          <w:szCs w:val="24"/>
        </w:rPr>
        <w:t>. По сравнению с плановым объемом поступления дохода 2019 года прирост составит 60,7 %.</w:t>
      </w:r>
    </w:p>
    <w:p w:rsidR="00FA6E95" w:rsidRDefault="00FA6E95" w:rsidP="00A9337E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354" w:rsidRPr="00A9337E">
        <w:rPr>
          <w:rFonts w:ascii="Times New Roman" w:hAnsi="Times New Roman" w:cs="Times New Roman"/>
          <w:b/>
          <w:sz w:val="24"/>
          <w:szCs w:val="24"/>
        </w:rPr>
        <w:t>- доходы от реализации иного имущества, находящегося в собственности городских поселений</w:t>
      </w:r>
      <w:r w:rsidR="00FF0354" w:rsidRPr="00A93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 </w:t>
      </w:r>
      <w:r w:rsidR="00FF0354" w:rsidRPr="00A9337E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F0354" w:rsidRPr="00A9337E">
        <w:rPr>
          <w:rFonts w:ascii="Times New Roman" w:hAnsi="Times New Roman" w:cs="Times New Roman"/>
          <w:sz w:val="24"/>
          <w:szCs w:val="24"/>
        </w:rPr>
        <w:t>200,0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ежегодно. Удельный вес дохода  в  2020 году  составит </w:t>
      </w:r>
      <w:r w:rsidR="00FF0354" w:rsidRPr="00A9337E">
        <w:rPr>
          <w:rFonts w:ascii="Times New Roman" w:hAnsi="Times New Roman" w:cs="Times New Roman"/>
          <w:sz w:val="24"/>
          <w:szCs w:val="24"/>
        </w:rPr>
        <w:t xml:space="preserve"> 1,2%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>. В 2019 году  поступления данного вида дохода  в казну поселения не выявлено.</w:t>
      </w:r>
    </w:p>
    <w:p w:rsidR="00FF0354" w:rsidRPr="00A9337E" w:rsidRDefault="00FA6E95" w:rsidP="00FA6E95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F0354" w:rsidRPr="00A9337E">
        <w:rPr>
          <w:rFonts w:ascii="Times New Roman" w:hAnsi="Times New Roman" w:cs="Times New Roman"/>
          <w:b/>
          <w:sz w:val="24"/>
          <w:szCs w:val="24"/>
        </w:rPr>
        <w:t xml:space="preserve"> доходы от продажи земельных участков, госсобственность на которые не разграничена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прогнозируется в 2020 году в сумме </w:t>
      </w:r>
      <w:r w:rsidR="00FF0354" w:rsidRPr="00A93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354" w:rsidRPr="00A9337E">
        <w:rPr>
          <w:rFonts w:ascii="Times New Roman" w:hAnsi="Times New Roman" w:cs="Times New Roman"/>
          <w:sz w:val="24"/>
          <w:szCs w:val="24"/>
        </w:rPr>
        <w:t>1000,0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вдвое превышает  утвержденный показатель 2019 года. На 2021  и 2022 годы планируется по 300,0 тыс. руб. ежегодно. Удельный вес неналогового дохода в 2020 году составит 6,1 %. </w:t>
      </w:r>
    </w:p>
    <w:p w:rsidR="00FF0354" w:rsidRDefault="00FF0354" w:rsidP="00FA6E9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37E">
        <w:rPr>
          <w:rFonts w:ascii="Times New Roman" w:hAnsi="Times New Roman" w:cs="Times New Roman"/>
          <w:b/>
          <w:sz w:val="24"/>
          <w:szCs w:val="24"/>
        </w:rPr>
        <w:t>- доходы от продажи земельных участков, находящихся в собственности городских поселений</w:t>
      </w:r>
      <w:r w:rsidRPr="00A9337E">
        <w:rPr>
          <w:rFonts w:ascii="Times New Roman" w:hAnsi="Times New Roman" w:cs="Times New Roman"/>
          <w:sz w:val="24"/>
          <w:szCs w:val="24"/>
        </w:rPr>
        <w:t xml:space="preserve"> </w:t>
      </w:r>
      <w:r w:rsidR="00FA6E95">
        <w:rPr>
          <w:rFonts w:ascii="Times New Roman" w:hAnsi="Times New Roman" w:cs="Times New Roman"/>
          <w:sz w:val="24"/>
          <w:szCs w:val="24"/>
        </w:rPr>
        <w:t xml:space="preserve">, в 2020 году, а также в 2021 и 2022 годах  планируется на уровне запланированного на 2019 год </w:t>
      </w:r>
      <w:r w:rsidRPr="00A9337E">
        <w:rPr>
          <w:rFonts w:ascii="Times New Roman" w:hAnsi="Times New Roman" w:cs="Times New Roman"/>
          <w:sz w:val="24"/>
          <w:szCs w:val="24"/>
        </w:rPr>
        <w:t xml:space="preserve">в </w:t>
      </w:r>
      <w:r w:rsidR="00FA6E95">
        <w:rPr>
          <w:rFonts w:ascii="Times New Roman" w:hAnsi="Times New Roman" w:cs="Times New Roman"/>
          <w:sz w:val="24"/>
          <w:szCs w:val="24"/>
        </w:rPr>
        <w:t>сумме 500,0 тыс. руб.</w:t>
      </w:r>
    </w:p>
    <w:p w:rsidR="00772130" w:rsidRDefault="008659BD" w:rsidP="00B401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 указать, что в проект бюджета Ибресинского городского поселения на  2020 год не включены доходы от перечисления части прибыли , остающейся  после уплаты налогов и иных обязательных платежей муниципальных унитарных предприятий, созданных городским поселением по КБК 993 11107015130000120.</w:t>
      </w:r>
    </w:p>
    <w:p w:rsidR="00B825AF" w:rsidRPr="00C46742" w:rsidRDefault="008659BD" w:rsidP="00B401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по итогам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поступление указанных доходов  составил</w:t>
      </w:r>
      <w:r w:rsid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378,9 тыс. руб. При утвержденном бюджетном назначении на 2019 год в сумме 550,0 тыс. руб. поступление   </w:t>
      </w:r>
      <w:r w:rsidRPr="00772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772130" w:rsidRPr="0077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77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перечисления части прибыли , остающейся  после уплаты налогов и иных обязательных платежей </w:t>
      </w:r>
      <w:r w:rsidR="00772130" w:rsidRPr="00772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ДЕЗ ЖКХ , ожидается в сумме 375,9 тыс. руб.</w:t>
      </w:r>
      <w:r w:rsidR="0077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стабильность работы предприятия , отсутствие  </w:t>
      </w:r>
      <w:r w:rsidR="00B8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колебания цен на энергоносители и сложившуюся тарифную политику  сумма занижения  доходной части проекта бюджета городского поселения </w:t>
      </w:r>
      <w:r w:rsidR="00B825AF"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 по  доходам от перечисления части прибыли , остающейся  после уплаты налогов и иных обязательных платежей муниципальных унитарных предприятий, созданных городским поселением по КБК 993 11107015130000120  составляет   </w:t>
      </w:r>
      <w:r w:rsid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</w:t>
      </w:r>
      <w:r w:rsidR="00B825AF"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350,0 тыс. руб. </w:t>
      </w:r>
    </w:p>
    <w:p w:rsidR="003C3F93" w:rsidRDefault="00BF3190" w:rsidP="00A9337E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неналоговых доходов в доходах бюджета</w:t>
      </w:r>
      <w:r w:rsidRPr="00A9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C4" w:rsidRPr="00A9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A9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</w:t>
      </w:r>
      <w:r w:rsidR="00F922DD" w:rsidRPr="00A9337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B34BA" w:rsidRPr="00A9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A9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FA6E95">
        <w:rPr>
          <w:rFonts w:ascii="Times New Roman" w:eastAsia="Times New Roman" w:hAnsi="Times New Roman" w:cs="Times New Roman"/>
          <w:sz w:val="24"/>
          <w:szCs w:val="24"/>
          <w:lang w:eastAsia="ru-RU"/>
        </w:rPr>
        <w:t>18,3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6E95">
        <w:rPr>
          <w:rFonts w:ascii="Times New Roman" w:eastAsia="Times New Roman" w:hAnsi="Times New Roman" w:cs="Times New Roman"/>
          <w:sz w:val="24"/>
          <w:szCs w:val="24"/>
          <w:lang w:eastAsia="ru-RU"/>
        </w:rPr>
        <w:t>13,9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A6E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E95">
        <w:rPr>
          <w:rFonts w:ascii="Times New Roman" w:eastAsia="Times New Roman" w:hAnsi="Times New Roman" w:cs="Times New Roman"/>
          <w:sz w:val="24"/>
          <w:szCs w:val="24"/>
          <w:lang w:eastAsia="ru-RU"/>
        </w:rPr>
        <w:t>13,7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A6E95" w:rsidRDefault="00BF3190" w:rsidP="00FA6E95">
      <w:pPr>
        <w:pBdr>
          <w:bottom w:val="single" w:sz="12" w:space="21" w:color="auto"/>
        </w:pBd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объеме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6E95">
        <w:rPr>
          <w:rFonts w:ascii="Times New Roman" w:eastAsia="Times New Roman" w:hAnsi="Times New Roman" w:cs="Times New Roman"/>
          <w:sz w:val="24"/>
          <w:szCs w:val="24"/>
          <w:lang w:eastAsia="ru-RU"/>
        </w:rPr>
        <w:t>9141,2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числе:</w:t>
      </w:r>
    </w:p>
    <w:p w:rsidR="00FA6E95" w:rsidRPr="00FA6E95" w:rsidRDefault="00FA6E95" w:rsidP="00FA6E9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E95">
        <w:rPr>
          <w:rFonts w:ascii="Times New Roman" w:hAnsi="Times New Roman" w:cs="Times New Roman"/>
          <w:sz w:val="24"/>
          <w:szCs w:val="24"/>
        </w:rPr>
        <w:t xml:space="preserve">- </w:t>
      </w:r>
      <w:r w:rsidRPr="00FA6E95">
        <w:rPr>
          <w:rFonts w:ascii="Times New Roman" w:hAnsi="Times New Roman" w:cs="Times New Roman"/>
          <w:b/>
          <w:sz w:val="24"/>
          <w:szCs w:val="24"/>
        </w:rPr>
        <w:t>субсидии бюджетам поселений</w:t>
      </w:r>
      <w:r w:rsidRPr="00FA6E95">
        <w:rPr>
          <w:rFonts w:ascii="Times New Roman" w:hAnsi="Times New Roman" w:cs="Times New Roman"/>
          <w:sz w:val="24"/>
          <w:szCs w:val="24"/>
        </w:rPr>
        <w:t xml:space="preserve"> на 2020 год в сумме 9006,5 тыс. рублей или 98,5% от общей суммы предполагаемых безвозмездных поступлений, на 2021 год – 9002,3 тыс. рублей, на 2022 год – 10060,4 тыс. рублей. В составе субсидий прогнозируются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а также субсидии на реализацию программ формирования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6E95" w:rsidRPr="00FA6E95" w:rsidRDefault="00FA6E95" w:rsidP="00FA6E9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E95">
        <w:rPr>
          <w:rFonts w:ascii="Times New Roman" w:hAnsi="Times New Roman" w:cs="Times New Roman"/>
          <w:sz w:val="24"/>
          <w:szCs w:val="24"/>
        </w:rPr>
        <w:t xml:space="preserve">- </w:t>
      </w:r>
      <w:r w:rsidRPr="00FA6E95">
        <w:rPr>
          <w:rFonts w:ascii="Times New Roman" w:hAnsi="Times New Roman" w:cs="Times New Roman"/>
          <w:b/>
          <w:sz w:val="24"/>
          <w:szCs w:val="24"/>
        </w:rPr>
        <w:t>субвенции</w:t>
      </w:r>
      <w:r w:rsidRPr="00FA6E95">
        <w:rPr>
          <w:rFonts w:ascii="Times New Roman" w:hAnsi="Times New Roman" w:cs="Times New Roman"/>
          <w:sz w:val="24"/>
          <w:szCs w:val="24"/>
        </w:rPr>
        <w:t xml:space="preserve"> в сумме 134,7 тыс. рублей или 1,5% от общей суммы предполагаемых безвозмездных поступлений, на 2021 год – 134,7 тыс. рублей, на 2022 год – 134,7 тыс. рублей. В составе субвенций прогнозируются субвенции на отлов и содержание безнадзорных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A6E95">
        <w:rPr>
          <w:rFonts w:ascii="Times New Roman" w:eastAsia="Times New Roman" w:hAnsi="Times New Roman" w:cs="Times New Roman"/>
          <w:sz w:val="24"/>
          <w:szCs w:val="24"/>
          <w:lang w:eastAsia="ru-RU"/>
        </w:rPr>
        <w:t>35,8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E95">
        <w:rPr>
          <w:rFonts w:ascii="Times New Roman" w:eastAsia="Times New Roman" w:hAnsi="Times New Roman" w:cs="Times New Roman"/>
          <w:sz w:val="24"/>
          <w:szCs w:val="24"/>
          <w:lang w:eastAsia="ru-RU"/>
        </w:rPr>
        <w:t>36,4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6E95"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C3F93" w:rsidRDefault="00BF3190" w:rsidP="00FA6E95">
      <w:pPr>
        <w:pBdr>
          <w:bottom w:val="single" w:sz="12" w:space="21" w:color="auto"/>
        </w:pBd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6D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3C3F93" w:rsidRDefault="003C3F93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основным приоритетным направлениям развития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4331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4331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7499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F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направлениях бюджетной политики 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 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F93" w:rsidRDefault="00E07A83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очередной финансовый год и плановый период является реестр расходных обязательств.</w:t>
      </w:r>
    </w:p>
    <w:p w:rsidR="003C3F93" w:rsidRDefault="00E07A83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показателями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на </w:t>
      </w:r>
      <w:r w:rsidR="00384AA0">
        <w:rPr>
          <w:rFonts w:ascii="Times New Roman" w:eastAsia="Times New Roman" w:hAnsi="Times New Roman" w:cs="Times New Roman"/>
          <w:sz w:val="24"/>
          <w:szCs w:val="24"/>
          <w:lang w:eastAsia="ru-RU"/>
        </w:rPr>
        <w:t>3990,8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384AA0">
        <w:rPr>
          <w:rFonts w:ascii="Times New Roman" w:eastAsia="Times New Roman" w:hAnsi="Times New Roman" w:cs="Times New Roman"/>
          <w:sz w:val="24"/>
          <w:szCs w:val="24"/>
          <w:lang w:eastAsia="ru-RU"/>
        </w:rPr>
        <w:t>13,5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,и составят </w:t>
      </w:r>
      <w:r w:rsidR="00384AA0">
        <w:rPr>
          <w:rFonts w:ascii="Times New Roman" w:eastAsia="Times New Roman" w:hAnsi="Times New Roman" w:cs="Times New Roman"/>
          <w:sz w:val="24"/>
          <w:szCs w:val="24"/>
          <w:lang w:eastAsia="ru-RU"/>
        </w:rPr>
        <w:t>25554,5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84AA0">
        <w:rPr>
          <w:rFonts w:ascii="Times New Roman" w:eastAsia="Times New Roman" w:hAnsi="Times New Roman" w:cs="Times New Roman"/>
          <w:sz w:val="24"/>
          <w:szCs w:val="24"/>
          <w:lang w:eastAsia="ru-RU"/>
        </w:rPr>
        <w:t>452,2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384AA0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384AA0">
        <w:rPr>
          <w:rFonts w:ascii="Times New Roman" w:eastAsia="Times New Roman" w:hAnsi="Times New Roman" w:cs="Times New Roman"/>
          <w:sz w:val="24"/>
          <w:szCs w:val="24"/>
          <w:lang w:eastAsia="ru-RU"/>
        </w:rPr>
        <w:t>25102,3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атся на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AA0">
        <w:rPr>
          <w:rFonts w:ascii="Times New Roman" w:eastAsia="Times New Roman" w:hAnsi="Times New Roman" w:cs="Times New Roman"/>
          <w:sz w:val="24"/>
          <w:szCs w:val="24"/>
          <w:lang w:eastAsia="ru-RU"/>
        </w:rPr>
        <w:t>1374,1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5,</w:t>
      </w:r>
      <w:r w:rsidR="00384A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составят  </w:t>
      </w:r>
      <w:r w:rsidR="00384AA0">
        <w:rPr>
          <w:rFonts w:ascii="Times New Roman" w:eastAsia="Times New Roman" w:hAnsi="Times New Roman" w:cs="Times New Roman"/>
          <w:sz w:val="24"/>
          <w:szCs w:val="24"/>
          <w:lang w:eastAsia="ru-RU"/>
        </w:rPr>
        <w:t>26476,4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232C0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 </w:t>
      </w: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A0" w:rsidRDefault="00384AA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Ind w:w="108" w:type="dxa"/>
        <w:tblLayout w:type="fixed"/>
        <w:tblLook w:val="01E0"/>
      </w:tblPr>
      <w:tblGrid>
        <w:gridCol w:w="2127"/>
        <w:gridCol w:w="567"/>
        <w:gridCol w:w="1275"/>
        <w:gridCol w:w="993"/>
        <w:gridCol w:w="992"/>
        <w:gridCol w:w="1134"/>
        <w:gridCol w:w="992"/>
        <w:gridCol w:w="993"/>
        <w:gridCol w:w="992"/>
      </w:tblGrid>
      <w:tr w:rsidR="00691CFC" w:rsidRPr="00A322B9" w:rsidTr="004E7214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4E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1CFC" w:rsidRPr="00A322B9">
              <w:rPr>
                <w:sz w:val="24"/>
                <w:szCs w:val="24"/>
              </w:rPr>
              <w:t xml:space="preserve"> год (</w:t>
            </w:r>
            <w:r w:rsidR="004E7214">
              <w:rPr>
                <w:sz w:val="24"/>
                <w:szCs w:val="24"/>
              </w:rPr>
              <w:t>решение о бюджете</w:t>
            </w:r>
            <w:r w:rsidR="00691CFC" w:rsidRPr="00A322B9">
              <w:rPr>
                <w:sz w:val="24"/>
                <w:szCs w:val="24"/>
              </w:rPr>
              <w:t>), тыс. руб.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Проект бюджета на:</w:t>
            </w:r>
          </w:p>
        </w:tc>
      </w:tr>
      <w:tr w:rsidR="00691CFC" w:rsidRPr="00A322B9" w:rsidTr="004E7214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</w:tr>
      <w:tr w:rsidR="00691CFC" w:rsidRPr="00A322B9" w:rsidTr="004E7214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55DF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1CFC" w:rsidRPr="00A322B9">
              <w:rPr>
                <w:sz w:val="24"/>
                <w:szCs w:val="24"/>
              </w:rPr>
              <w:t>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083983" w:rsidRDefault="003034A5" w:rsidP="00070853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5C08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034A5" w:rsidRPr="00A322B9" w:rsidTr="003165C7">
        <w:trPr>
          <w:trHeight w:val="1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083983" w:rsidRDefault="003034A5" w:rsidP="00691CFC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A322B9" w:rsidRDefault="003034A5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 w:rsidP="005C0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34A5" w:rsidRPr="00A322B9" w:rsidTr="003034A5">
        <w:trPr>
          <w:trHeight w:val="4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A322B9" w:rsidRDefault="003034A5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A322B9" w:rsidRDefault="003034A5" w:rsidP="003034A5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 xml:space="preserve">Национальная </w:t>
            </w:r>
            <w:r>
              <w:rPr>
                <w:sz w:val="24"/>
                <w:szCs w:val="24"/>
              </w:rPr>
              <w:t xml:space="preserve">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 w:rsidP="00303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A322B9" w:rsidRDefault="003034A5" w:rsidP="004D7D14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083983" w:rsidRDefault="003034A5" w:rsidP="004D7D1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A322B9" w:rsidRDefault="003034A5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13449,5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13083,7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A322B9" w:rsidRDefault="003034A5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3034A5" w:rsidRDefault="003034A5" w:rsidP="00070853">
            <w:pPr>
              <w:jc w:val="both"/>
              <w:rPr>
                <w:sz w:val="24"/>
                <w:szCs w:val="24"/>
              </w:rPr>
            </w:pPr>
            <w:r w:rsidRPr="003034A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3034A5" w:rsidRDefault="003034A5" w:rsidP="00070853">
            <w:pPr>
              <w:jc w:val="both"/>
              <w:rPr>
                <w:i/>
                <w:sz w:val="24"/>
                <w:szCs w:val="24"/>
              </w:rPr>
            </w:pPr>
            <w:r w:rsidRPr="003034A5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970,8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781,9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A322B9" w:rsidRDefault="003034A5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083983" w:rsidRDefault="003034A5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034A5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7212B8" w:rsidRDefault="003034A5" w:rsidP="00F922DD">
            <w:pPr>
              <w:jc w:val="both"/>
              <w:rPr>
                <w:sz w:val="22"/>
                <w:szCs w:val="22"/>
              </w:rPr>
            </w:pPr>
            <w:r w:rsidRPr="007212B8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Pr="00A322B9" w:rsidRDefault="003034A5" w:rsidP="0007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5" w:rsidRDefault="003034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351" w:rsidRPr="00083983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1" w:rsidRPr="00083983" w:rsidRDefault="00DE7351" w:rsidP="00F922DD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1" w:rsidRPr="00083983" w:rsidRDefault="00DE7351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1" w:rsidRDefault="00DE735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1" w:rsidRDefault="00DE735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1" w:rsidRDefault="00DE735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1" w:rsidRDefault="00DE735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1" w:rsidRDefault="00DE735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1" w:rsidRDefault="003034A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203,9</w:t>
            </w:r>
            <w:r w:rsidR="00DE735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1" w:rsidRDefault="00DE735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у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</w:t>
      </w:r>
      <w:r w:rsid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DE7351">
        <w:rPr>
          <w:rFonts w:ascii="Times New Roman" w:eastAsia="Times New Roman" w:hAnsi="Times New Roman" w:cs="Times New Roman"/>
          <w:sz w:val="24"/>
          <w:szCs w:val="24"/>
          <w:lang w:eastAsia="ru-RU"/>
        </w:rPr>
        <w:t>394,7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DE7351">
        <w:rPr>
          <w:rFonts w:ascii="Times New Roman" w:eastAsia="Times New Roman" w:hAnsi="Times New Roman" w:cs="Times New Roman"/>
          <w:sz w:val="24"/>
          <w:szCs w:val="24"/>
          <w:lang w:eastAsia="ru-RU"/>
        </w:rPr>
        <w:t>7,0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составят </w:t>
      </w:r>
      <w:r w:rsidR="00DE7351">
        <w:rPr>
          <w:rFonts w:ascii="Times New Roman" w:eastAsia="Times New Roman" w:hAnsi="Times New Roman" w:cs="Times New Roman"/>
          <w:sz w:val="24"/>
          <w:szCs w:val="24"/>
          <w:lang w:eastAsia="ru-RU"/>
        </w:rPr>
        <w:t>5243,8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по данному разделу на плановый период 2021 и 2021 годы прогнозируются в объеме </w:t>
      </w:r>
      <w:r w:rsidR="00E8671D">
        <w:rPr>
          <w:rFonts w:ascii="Times New Roman" w:eastAsia="Times New Roman" w:hAnsi="Times New Roman" w:cs="Times New Roman"/>
          <w:sz w:val="24"/>
          <w:szCs w:val="24"/>
          <w:lang w:eastAsia="ru-RU"/>
        </w:rPr>
        <w:t>5329,9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E86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30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3034A5"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– </w:t>
      </w:r>
      <w:r w:rsidR="00E8671D">
        <w:rPr>
          <w:rFonts w:ascii="Times New Roman" w:eastAsia="Times New Roman" w:hAnsi="Times New Roman" w:cs="Times New Roman"/>
          <w:sz w:val="24"/>
          <w:szCs w:val="24"/>
          <w:lang w:eastAsia="ru-RU"/>
        </w:rPr>
        <w:t>20,5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E8671D">
        <w:rPr>
          <w:rFonts w:ascii="Times New Roman" w:eastAsia="Times New Roman" w:hAnsi="Times New Roman" w:cs="Times New Roman"/>
          <w:sz w:val="24"/>
          <w:szCs w:val="24"/>
          <w:lang w:eastAsia="ru-RU"/>
        </w:rPr>
        <w:t>21,2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8671D">
        <w:rPr>
          <w:rFonts w:ascii="Times New Roman" w:eastAsia="Times New Roman" w:hAnsi="Times New Roman" w:cs="Times New Roman"/>
          <w:sz w:val="24"/>
          <w:szCs w:val="24"/>
          <w:lang w:eastAsia="ru-RU"/>
        </w:rPr>
        <w:t>20,1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71D" w:rsidRDefault="00D54B45" w:rsidP="00D54B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бюджетные ассигнования предусмотрены  в рамках муниципальной программы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«Развитие потенциала муниципального управления»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 средств, 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деятельности органов местного самоуправления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составляет </w:t>
      </w:r>
      <w:r w:rsidR="00E8671D">
        <w:rPr>
          <w:rFonts w:ascii="Times New Roman" w:eastAsia="Times New Roman" w:hAnsi="Times New Roman" w:cs="Times New Roman"/>
          <w:sz w:val="24"/>
          <w:szCs w:val="24"/>
          <w:lang w:eastAsia="ru-RU"/>
        </w:rPr>
        <w:t>3561,3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106,6 % к запланированному на 2019 год. Н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2021 и  2022 годы </w:t>
      </w:r>
      <w:r w:rsidR="00E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  3623,6</w:t>
      </w:r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</w:t>
      </w:r>
      <w:r w:rsidR="00E86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45" w:rsidRPr="00D54B45" w:rsidRDefault="00D54B45" w:rsidP="00D54B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 «</w:t>
      </w: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фонды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предусмотрены расходы в рамках муниципальной программы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"Управление общественными финансами и муниципальным долгом</w:t>
      </w:r>
      <w:r w:rsidR="00C72587" w:rsidRPr="00C725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реализацию муниципальных полномочий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по формированию резервного фонда администрации </w:t>
      </w:r>
      <w:r w:rsidR="0042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4223C9"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по </w:t>
      </w:r>
      <w:r w:rsidR="004223C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 </w:t>
      </w:r>
    </w:p>
    <w:p w:rsidR="004223C9" w:rsidRPr="004223C9" w:rsidRDefault="004223C9" w:rsidP="004223C9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C9">
        <w:rPr>
          <w:rFonts w:ascii="Times New Roman" w:hAnsi="Times New Roman" w:cs="Times New Roman"/>
          <w:sz w:val="24"/>
          <w:szCs w:val="24"/>
        </w:rPr>
        <w:t>Бюджетные ассигнования по подразделу</w:t>
      </w:r>
      <w:r>
        <w:rPr>
          <w:rFonts w:ascii="Times New Roman" w:hAnsi="Times New Roman" w:cs="Times New Roman"/>
          <w:sz w:val="24"/>
          <w:szCs w:val="24"/>
        </w:rPr>
        <w:t>"Другие общегосударственные вопросы"</w:t>
      </w:r>
      <w:r w:rsidRPr="004223C9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муниципальной программы "Развитие земельных и имущественных отношений":</w:t>
      </w:r>
    </w:p>
    <w:p w:rsidR="004223C9" w:rsidRPr="004223C9" w:rsidRDefault="004223C9" w:rsidP="004223C9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C9">
        <w:rPr>
          <w:rFonts w:ascii="Times New Roman" w:hAnsi="Times New Roman" w:cs="Times New Roman"/>
          <w:sz w:val="24"/>
          <w:szCs w:val="24"/>
        </w:rPr>
        <w:t>- на проведение кадастровых работ в отношении объектов капитального строительства, находящихся в муниципальной собственности на 2020 год в сумме 400,0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3C9">
        <w:rPr>
          <w:rFonts w:ascii="Times New Roman" w:hAnsi="Times New Roman" w:cs="Times New Roman"/>
          <w:sz w:val="24"/>
          <w:szCs w:val="24"/>
        </w:rPr>
        <w:t xml:space="preserve"> на 2021 год – 400,0 тыс. рублей, на 2022 год – 400,0 тыс. рублей,</w:t>
      </w:r>
    </w:p>
    <w:p w:rsidR="004223C9" w:rsidRPr="004223C9" w:rsidRDefault="004223C9" w:rsidP="004223C9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C9">
        <w:rPr>
          <w:rFonts w:ascii="Times New Roman" w:hAnsi="Times New Roman" w:cs="Times New Roman"/>
          <w:sz w:val="24"/>
          <w:szCs w:val="24"/>
        </w:rPr>
        <w:t xml:space="preserve">- на обеспечение реализации полномочий по техническому учету, технической инвентаризации и определению кадастровой стоимости объектов недвижимости на 2020 год в сумме 55,0 тыс. рублей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3C9">
        <w:rPr>
          <w:rFonts w:ascii="Times New Roman" w:hAnsi="Times New Roman" w:cs="Times New Roman"/>
          <w:sz w:val="24"/>
          <w:szCs w:val="24"/>
        </w:rPr>
        <w:t xml:space="preserve"> на 2021 год – 55,0 тыс. рублей, на 2022 год – 55,0 тыс. рублей</w:t>
      </w:r>
    </w:p>
    <w:p w:rsidR="004223C9" w:rsidRPr="004223C9" w:rsidRDefault="004223C9" w:rsidP="004223C9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C9">
        <w:rPr>
          <w:rFonts w:ascii="Times New Roman" w:hAnsi="Times New Roman" w:cs="Times New Roman"/>
          <w:sz w:val="24"/>
          <w:szCs w:val="24"/>
        </w:rPr>
        <w:t xml:space="preserve">- вовлечение в хозяйственный оборот объектов муниципальной казны на 2020 год в размере 242,4 тыс. рублей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3C9">
        <w:rPr>
          <w:rFonts w:ascii="Times New Roman" w:hAnsi="Times New Roman" w:cs="Times New Roman"/>
          <w:sz w:val="24"/>
          <w:szCs w:val="24"/>
        </w:rPr>
        <w:t xml:space="preserve"> на 2021 год – 240,6 тыс. рублей, на 2022 год – 240,6 тыс. рублей.</w:t>
      </w:r>
    </w:p>
    <w:p w:rsidR="004223C9" w:rsidRPr="004223C9" w:rsidRDefault="004223C9" w:rsidP="004223C9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C9">
        <w:rPr>
          <w:rFonts w:ascii="Times New Roman" w:hAnsi="Times New Roman" w:cs="Times New Roman"/>
          <w:sz w:val="24"/>
          <w:szCs w:val="24"/>
        </w:rPr>
        <w:t>Бюджетные ассигнования по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23C9">
        <w:rPr>
          <w:rFonts w:ascii="Times New Roman" w:hAnsi="Times New Roman" w:cs="Times New Roman"/>
          <w:sz w:val="24"/>
          <w:szCs w:val="24"/>
        </w:rPr>
        <w:t xml:space="preserve"> "Развитие потенциала муниципального управления" на содержание административно-хозяйственного персонала на 2020 год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4223C9">
        <w:rPr>
          <w:rFonts w:ascii="Times New Roman" w:hAnsi="Times New Roman" w:cs="Times New Roman"/>
          <w:sz w:val="24"/>
          <w:szCs w:val="24"/>
        </w:rPr>
        <w:t xml:space="preserve"> 905,2 тыс. рублей </w:t>
      </w:r>
      <w:r>
        <w:rPr>
          <w:rFonts w:ascii="Times New Roman" w:hAnsi="Times New Roman" w:cs="Times New Roman"/>
          <w:sz w:val="24"/>
          <w:szCs w:val="24"/>
        </w:rPr>
        <w:t>, или 104 % к 2019 году(870,5 тыс. руб.)</w:t>
      </w:r>
      <w:r w:rsidR="009E7133">
        <w:rPr>
          <w:rFonts w:ascii="Times New Roman" w:hAnsi="Times New Roman" w:cs="Times New Roman"/>
          <w:sz w:val="24"/>
          <w:szCs w:val="24"/>
        </w:rPr>
        <w:t>,</w:t>
      </w:r>
      <w:r w:rsidRPr="004223C9">
        <w:rPr>
          <w:rFonts w:ascii="Times New Roman" w:hAnsi="Times New Roman" w:cs="Times New Roman"/>
          <w:sz w:val="24"/>
          <w:szCs w:val="24"/>
        </w:rPr>
        <w:t xml:space="preserve"> на 2021 год – 930,7 тыс. рублей, на 2022 год – 930,7 тыс.рублей</w:t>
      </w:r>
      <w:r w:rsidR="009E7133">
        <w:rPr>
          <w:rFonts w:ascii="Times New Roman" w:hAnsi="Times New Roman" w:cs="Times New Roman"/>
          <w:sz w:val="24"/>
          <w:szCs w:val="24"/>
        </w:rPr>
        <w:t xml:space="preserve">. На </w:t>
      </w:r>
      <w:r w:rsidRPr="004223C9">
        <w:rPr>
          <w:rFonts w:ascii="Times New Roman" w:hAnsi="Times New Roman" w:cs="Times New Roman"/>
          <w:sz w:val="24"/>
          <w:szCs w:val="24"/>
        </w:rPr>
        <w:t xml:space="preserve"> оплату членского взноса в Совет муниципальных образований  на 2020 год </w:t>
      </w:r>
      <w:r w:rsidR="009E7133">
        <w:rPr>
          <w:rFonts w:ascii="Times New Roman" w:hAnsi="Times New Roman" w:cs="Times New Roman"/>
          <w:sz w:val="24"/>
          <w:szCs w:val="24"/>
        </w:rPr>
        <w:t>, как и на 2021 и 2022 годы, предусматри</w:t>
      </w:r>
      <w:r w:rsidRPr="004223C9">
        <w:rPr>
          <w:rFonts w:ascii="Times New Roman" w:hAnsi="Times New Roman" w:cs="Times New Roman"/>
          <w:sz w:val="24"/>
          <w:szCs w:val="24"/>
        </w:rPr>
        <w:t>в</w:t>
      </w:r>
      <w:r w:rsidR="009E7133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4223C9">
        <w:rPr>
          <w:rFonts w:ascii="Times New Roman" w:hAnsi="Times New Roman" w:cs="Times New Roman"/>
          <w:sz w:val="24"/>
          <w:szCs w:val="24"/>
        </w:rPr>
        <w:t xml:space="preserve"> </w:t>
      </w:r>
      <w:r w:rsidR="009E7133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Pr="004223C9">
        <w:rPr>
          <w:rFonts w:ascii="Times New Roman" w:hAnsi="Times New Roman" w:cs="Times New Roman"/>
          <w:sz w:val="24"/>
          <w:szCs w:val="24"/>
        </w:rPr>
        <w:t>20,0 тыс. рублей.</w:t>
      </w:r>
    </w:p>
    <w:p w:rsidR="003C3F93" w:rsidRDefault="00BF3190" w:rsidP="009E713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9E7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E7133" w:rsidRPr="009E7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81A08" w:rsidRPr="009E7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«Национальная </w:t>
      </w:r>
      <w:r w:rsidR="009E7133" w:rsidRPr="009E7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Pr="009E7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E7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="009E7133" w:rsidRPr="009E7133">
        <w:rPr>
          <w:rFonts w:ascii="Times New Roman" w:hAnsi="Times New Roman" w:cs="Times New Roman"/>
          <w:sz w:val="24"/>
          <w:szCs w:val="24"/>
        </w:rPr>
        <w:t>юджетные ассигнования предусм</w:t>
      </w:r>
      <w:r w:rsidR="009E7133">
        <w:rPr>
          <w:rFonts w:ascii="Times New Roman" w:hAnsi="Times New Roman" w:cs="Times New Roman"/>
          <w:sz w:val="24"/>
          <w:szCs w:val="24"/>
        </w:rPr>
        <w:t>а</w:t>
      </w:r>
      <w:r w:rsidR="009E7133" w:rsidRPr="009E7133">
        <w:rPr>
          <w:rFonts w:ascii="Times New Roman" w:hAnsi="Times New Roman" w:cs="Times New Roman"/>
          <w:sz w:val="24"/>
          <w:szCs w:val="24"/>
        </w:rPr>
        <w:t>тр</w:t>
      </w:r>
      <w:r w:rsidR="009E7133">
        <w:rPr>
          <w:rFonts w:ascii="Times New Roman" w:hAnsi="Times New Roman" w:cs="Times New Roman"/>
          <w:sz w:val="24"/>
          <w:szCs w:val="24"/>
        </w:rPr>
        <w:t xml:space="preserve">иваются </w:t>
      </w:r>
      <w:r w:rsidR="009E7133" w:rsidRPr="009E7133">
        <w:rPr>
          <w:rFonts w:ascii="Times New Roman" w:hAnsi="Times New Roman" w:cs="Times New Roman"/>
          <w:sz w:val="24"/>
          <w:szCs w:val="24"/>
        </w:rPr>
        <w:t xml:space="preserve"> на реализацию мероприяти</w:t>
      </w:r>
      <w:r w:rsidR="009E7133">
        <w:rPr>
          <w:rFonts w:ascii="Times New Roman" w:hAnsi="Times New Roman" w:cs="Times New Roman"/>
          <w:sz w:val="24"/>
          <w:szCs w:val="24"/>
        </w:rPr>
        <w:t>й</w:t>
      </w:r>
      <w:r w:rsidR="009E7133" w:rsidRPr="009E7133">
        <w:rPr>
          <w:rFonts w:ascii="Times New Roman" w:hAnsi="Times New Roman" w:cs="Times New Roman"/>
          <w:sz w:val="24"/>
          <w:szCs w:val="24"/>
        </w:rPr>
        <w:t xml:space="preserve"> по обеспечению пожарной безопасности муниципальных объектов на 2020 год </w:t>
      </w:r>
      <w:r w:rsidR="009E7133">
        <w:rPr>
          <w:rFonts w:ascii="Times New Roman" w:hAnsi="Times New Roman" w:cs="Times New Roman"/>
          <w:sz w:val="24"/>
          <w:szCs w:val="24"/>
        </w:rPr>
        <w:t xml:space="preserve">и плановый период 2021 и 2022 годов , как и на 2019 год , ежегодно </w:t>
      </w:r>
      <w:r w:rsidR="009E7133" w:rsidRPr="009E7133">
        <w:rPr>
          <w:rFonts w:ascii="Times New Roman" w:hAnsi="Times New Roman" w:cs="Times New Roman"/>
          <w:sz w:val="24"/>
          <w:szCs w:val="24"/>
        </w:rPr>
        <w:t>в сумме</w:t>
      </w:r>
      <w:r w:rsidR="009E7133">
        <w:rPr>
          <w:rFonts w:ascii="Times New Roman" w:hAnsi="Times New Roman" w:cs="Times New Roman"/>
          <w:sz w:val="24"/>
          <w:szCs w:val="24"/>
        </w:rPr>
        <w:t xml:space="preserve"> по </w:t>
      </w:r>
      <w:r w:rsidR="009E7133" w:rsidRPr="009E7133">
        <w:rPr>
          <w:rFonts w:ascii="Times New Roman" w:hAnsi="Times New Roman" w:cs="Times New Roman"/>
          <w:sz w:val="24"/>
          <w:szCs w:val="24"/>
        </w:rPr>
        <w:t xml:space="preserve"> 30,0 тыс. рублей</w:t>
      </w:r>
      <w:r w:rsidR="009E7133">
        <w:rPr>
          <w:rFonts w:ascii="Times New Roman" w:hAnsi="Times New Roman" w:cs="Times New Roman"/>
          <w:sz w:val="24"/>
          <w:szCs w:val="24"/>
        </w:rPr>
        <w:t>.</w:t>
      </w:r>
    </w:p>
    <w:p w:rsidR="003C3F93" w:rsidRDefault="00BF3190" w:rsidP="003C3F93">
      <w:pPr>
        <w:pBdr>
          <w:bottom w:val="single" w:sz="12" w:space="21" w:color="auto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составит </w:t>
      </w:r>
      <w:r w:rsidR="009E7133">
        <w:rPr>
          <w:rFonts w:ascii="Times New Roman" w:eastAsia="Times New Roman" w:hAnsi="Times New Roman" w:cs="Times New Roman"/>
          <w:sz w:val="24"/>
          <w:szCs w:val="24"/>
          <w:lang w:eastAsia="ru-RU"/>
        </w:rPr>
        <w:t>0,1</w:t>
      </w:r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9E7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67A" w:rsidRPr="005E046E" w:rsidRDefault="00BF3190" w:rsidP="005E046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</w:t>
      </w:r>
      <w:r w:rsidR="00681006" w:rsidRPr="005E0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5E0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767A" w:rsidRP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на 2020 год планируются в сумме  5028,6 тыс. </w:t>
      </w:r>
      <w:proofErr w:type="spellStart"/>
      <w:r w:rsidR="00D6767A" w:rsidRP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D6767A" w:rsidRP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ниже утвержденного показателя на 2019 год на 21,1 % , или на 1344,8 тыс. руб. </w:t>
      </w:r>
    </w:p>
    <w:p w:rsidR="00D6767A" w:rsidRPr="005E046E" w:rsidRDefault="00D6767A" w:rsidP="005E046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46E">
        <w:rPr>
          <w:rFonts w:ascii="Times New Roman" w:hAnsi="Times New Roman" w:cs="Times New Roman"/>
          <w:sz w:val="24"/>
          <w:szCs w:val="24"/>
        </w:rPr>
        <w:t>Бюджетные ассигнования на реализацию муниципальной программы "Содействие занятости населения" предусмотрены на организацию временного трудоустройства несовершеннолетних граждан в возрасте от 14 до 18 лет в свободное от учебы время на 2020 год в сумме 95,0 тыс. рублей, на организацию временного трудоустройства безработных  граждан, испытывающих трудности в поиске работы на 2020 год в сумме 110,0 тыс. руб.</w:t>
      </w:r>
    </w:p>
    <w:p w:rsidR="005E046E" w:rsidRDefault="00D6767A" w:rsidP="005E046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46E">
        <w:rPr>
          <w:rFonts w:ascii="Times New Roman" w:hAnsi="Times New Roman" w:cs="Times New Roman"/>
          <w:sz w:val="24"/>
          <w:szCs w:val="24"/>
        </w:rPr>
        <w:t xml:space="preserve">Бюджетные ассигнования по </w:t>
      </w:r>
      <w:r w:rsidR="005E046E" w:rsidRPr="005E046E">
        <w:rPr>
          <w:rFonts w:ascii="Times New Roman" w:hAnsi="Times New Roman" w:cs="Times New Roman"/>
          <w:b/>
          <w:sz w:val="24"/>
          <w:szCs w:val="24"/>
        </w:rPr>
        <w:t xml:space="preserve">подразделу  «Сельское хозяйство и рыболовство» </w:t>
      </w:r>
      <w:r w:rsidRPr="005E046E">
        <w:rPr>
          <w:rFonts w:ascii="Times New Roman" w:hAnsi="Times New Roman" w:cs="Times New Roman"/>
          <w:sz w:val="24"/>
          <w:szCs w:val="24"/>
        </w:rPr>
        <w:t xml:space="preserve">предусмотрены на реализацию муниципальной программы "Развитие сельского хозяйства и регулирования рынка сельскохозяйственной продукции, сырья и продовольствия" на отлов и содержание безнадзорных животных на 2020 год </w:t>
      </w:r>
      <w:r w:rsidR="005E046E">
        <w:rPr>
          <w:rFonts w:ascii="Times New Roman" w:hAnsi="Times New Roman" w:cs="Times New Roman"/>
          <w:sz w:val="24"/>
          <w:szCs w:val="24"/>
        </w:rPr>
        <w:t xml:space="preserve">и плановый период  2021 и 2022 годов </w:t>
      </w:r>
      <w:r w:rsidRPr="005E046E">
        <w:rPr>
          <w:rFonts w:ascii="Times New Roman" w:hAnsi="Times New Roman" w:cs="Times New Roman"/>
          <w:sz w:val="24"/>
          <w:szCs w:val="24"/>
        </w:rPr>
        <w:t>в сумме</w:t>
      </w:r>
      <w:r w:rsidR="005E046E">
        <w:rPr>
          <w:rFonts w:ascii="Times New Roman" w:hAnsi="Times New Roman" w:cs="Times New Roman"/>
          <w:sz w:val="24"/>
          <w:szCs w:val="24"/>
        </w:rPr>
        <w:t xml:space="preserve"> по </w:t>
      </w:r>
      <w:r w:rsidRPr="005E046E">
        <w:rPr>
          <w:rFonts w:ascii="Times New Roman" w:hAnsi="Times New Roman" w:cs="Times New Roman"/>
          <w:sz w:val="24"/>
          <w:szCs w:val="24"/>
        </w:rPr>
        <w:t xml:space="preserve"> 134,7 тыс. рублей</w:t>
      </w:r>
      <w:r w:rsidR="005E046E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5E046E" w:rsidRPr="005E046E" w:rsidRDefault="005E046E" w:rsidP="005E046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46E">
        <w:rPr>
          <w:rFonts w:ascii="Times New Roman" w:hAnsi="Times New Roman" w:cs="Times New Roman"/>
          <w:sz w:val="24"/>
          <w:szCs w:val="24"/>
        </w:rPr>
        <w:t xml:space="preserve"> Бюджетные ассигнования по </w:t>
      </w:r>
      <w:r w:rsidRPr="005E046E">
        <w:rPr>
          <w:rFonts w:ascii="Times New Roman" w:hAnsi="Times New Roman" w:cs="Times New Roman"/>
          <w:b/>
          <w:sz w:val="24"/>
          <w:szCs w:val="24"/>
        </w:rPr>
        <w:t xml:space="preserve">подразделу  </w:t>
      </w:r>
      <w:r w:rsidR="00D6767A" w:rsidRPr="005E046E">
        <w:rPr>
          <w:rFonts w:ascii="Times New Roman" w:hAnsi="Times New Roman" w:cs="Times New Roman"/>
          <w:b/>
          <w:sz w:val="24"/>
          <w:szCs w:val="24"/>
        </w:rPr>
        <w:t>«Дорожное хозяйство»</w:t>
      </w:r>
      <w:r w:rsidRPr="005E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67A" w:rsidRPr="005E046E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 муниципальной программы "Развитие транспортной системы".В проекте решения на реализацию данной подпрограммы предусмотрены на:</w:t>
      </w:r>
    </w:p>
    <w:p w:rsidR="005E046E" w:rsidRDefault="00D6767A" w:rsidP="005E046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46E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на 2020 год в сумме 1102,7 тыс. рублей</w:t>
      </w:r>
      <w:r w:rsidR="005E046E">
        <w:rPr>
          <w:rFonts w:ascii="Times New Roman" w:hAnsi="Times New Roman" w:cs="Times New Roman"/>
          <w:sz w:val="24"/>
          <w:szCs w:val="24"/>
        </w:rPr>
        <w:t>,</w:t>
      </w:r>
      <w:r w:rsidR="005E046E" w:rsidRPr="005E046E">
        <w:rPr>
          <w:rFonts w:ascii="Times New Roman" w:hAnsi="Times New Roman" w:cs="Times New Roman"/>
          <w:sz w:val="24"/>
          <w:szCs w:val="24"/>
        </w:rPr>
        <w:t xml:space="preserve"> </w:t>
      </w:r>
      <w:r w:rsidRPr="005E046E">
        <w:rPr>
          <w:rFonts w:ascii="Times New Roman" w:hAnsi="Times New Roman" w:cs="Times New Roman"/>
          <w:sz w:val="24"/>
          <w:szCs w:val="24"/>
        </w:rPr>
        <w:t xml:space="preserve"> на 2021 год – 1098,0 тыс. рублей</w:t>
      </w:r>
      <w:r w:rsidR="005E046E">
        <w:rPr>
          <w:rFonts w:ascii="Times New Roman" w:hAnsi="Times New Roman" w:cs="Times New Roman"/>
          <w:sz w:val="24"/>
          <w:szCs w:val="24"/>
        </w:rPr>
        <w:t>,</w:t>
      </w:r>
      <w:r w:rsidRPr="005E046E">
        <w:rPr>
          <w:rFonts w:ascii="Times New Roman" w:hAnsi="Times New Roman" w:cs="Times New Roman"/>
          <w:sz w:val="24"/>
          <w:szCs w:val="24"/>
        </w:rPr>
        <w:t xml:space="preserve"> на 2022 год – 1987,3 тыс. рублей</w:t>
      </w:r>
      <w:r w:rsidR="005E046E">
        <w:rPr>
          <w:rFonts w:ascii="Times New Roman" w:hAnsi="Times New Roman" w:cs="Times New Roman"/>
          <w:sz w:val="24"/>
          <w:szCs w:val="24"/>
        </w:rPr>
        <w:t>.</w:t>
      </w:r>
    </w:p>
    <w:p w:rsidR="005E046E" w:rsidRDefault="005E046E" w:rsidP="005E046E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46E">
        <w:rPr>
          <w:rFonts w:ascii="Times New Roman" w:hAnsi="Times New Roman" w:cs="Times New Roman"/>
          <w:sz w:val="24"/>
          <w:szCs w:val="24"/>
        </w:rPr>
        <w:t xml:space="preserve"> </w:t>
      </w:r>
      <w:r w:rsidR="00D6767A" w:rsidRPr="005E046E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на 2020 год в сумме 822,4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767A" w:rsidRPr="005E046E">
        <w:rPr>
          <w:rFonts w:ascii="Times New Roman" w:hAnsi="Times New Roman" w:cs="Times New Roman"/>
          <w:sz w:val="24"/>
          <w:szCs w:val="24"/>
        </w:rPr>
        <w:t xml:space="preserve"> на 2021 год – 822,4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767A" w:rsidRPr="005E046E">
        <w:rPr>
          <w:rFonts w:ascii="Times New Roman" w:hAnsi="Times New Roman" w:cs="Times New Roman"/>
          <w:sz w:val="24"/>
          <w:szCs w:val="24"/>
        </w:rPr>
        <w:t xml:space="preserve"> на 2022 год – 822,4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67A" w:rsidRPr="005E046E" w:rsidRDefault="005E046E" w:rsidP="005E046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46E">
        <w:rPr>
          <w:rFonts w:ascii="Times New Roman" w:hAnsi="Times New Roman" w:cs="Times New Roman"/>
          <w:sz w:val="24"/>
          <w:szCs w:val="24"/>
        </w:rPr>
        <w:t xml:space="preserve"> </w:t>
      </w:r>
      <w:r w:rsidR="00D6767A" w:rsidRPr="005E046E">
        <w:rPr>
          <w:rFonts w:ascii="Times New Roman" w:hAnsi="Times New Roman" w:cs="Times New Roman"/>
          <w:sz w:val="24"/>
          <w:szCs w:val="24"/>
        </w:rPr>
        <w:t xml:space="preserve">-  содержание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1200,0 тыс. </w:t>
      </w:r>
      <w:proofErr w:type="spellStart"/>
      <w:r w:rsidR="00D6767A" w:rsidRPr="005E046E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767A" w:rsidRPr="005E04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6767A" w:rsidRPr="005E046E">
        <w:rPr>
          <w:rFonts w:ascii="Times New Roman" w:hAnsi="Times New Roman" w:cs="Times New Roman"/>
          <w:sz w:val="24"/>
          <w:szCs w:val="24"/>
        </w:rPr>
        <w:t xml:space="preserve"> 2021 год – 867,9 тыс. рублей, на 2022 год – 779,0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67A" w:rsidRPr="005E046E" w:rsidRDefault="00D6767A" w:rsidP="005E046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46E">
        <w:rPr>
          <w:rFonts w:ascii="Times New Roman" w:hAnsi="Times New Roman" w:cs="Times New Roman"/>
          <w:sz w:val="24"/>
          <w:szCs w:val="24"/>
        </w:rPr>
        <w:t xml:space="preserve">- капитальный ремонт и ремонт дворовых территорий многоквартирных домов, проездов к дворовым территориям многоквартирных домов населенных пунктов на 2020 год в сумме 1363,8 тыс. рублей </w:t>
      </w:r>
      <w:r w:rsidR="005E046E">
        <w:rPr>
          <w:rFonts w:ascii="Times New Roman" w:hAnsi="Times New Roman" w:cs="Times New Roman"/>
          <w:sz w:val="24"/>
          <w:szCs w:val="24"/>
        </w:rPr>
        <w:t>,</w:t>
      </w:r>
      <w:r w:rsidRPr="005E046E">
        <w:rPr>
          <w:rFonts w:ascii="Times New Roman" w:hAnsi="Times New Roman" w:cs="Times New Roman"/>
          <w:sz w:val="24"/>
          <w:szCs w:val="24"/>
        </w:rPr>
        <w:t xml:space="preserve"> на 2021 год – 1363,8 тыс. рублей, на 2022 год – 1363,8 тыс. рублей </w:t>
      </w:r>
      <w:r w:rsidR="005E046E">
        <w:rPr>
          <w:rFonts w:ascii="Times New Roman" w:hAnsi="Times New Roman" w:cs="Times New Roman"/>
          <w:sz w:val="24"/>
          <w:szCs w:val="24"/>
        </w:rPr>
        <w:t>.</w:t>
      </w:r>
    </w:p>
    <w:p w:rsidR="00D6767A" w:rsidRPr="005E046E" w:rsidRDefault="00D6767A" w:rsidP="005E046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6E">
        <w:rPr>
          <w:rFonts w:ascii="Times New Roman" w:hAnsi="Times New Roman" w:cs="Times New Roman"/>
          <w:b/>
          <w:sz w:val="24"/>
          <w:szCs w:val="24"/>
        </w:rPr>
        <w:t>Подраздел «Другие вопросы в области национальной экономики»</w:t>
      </w:r>
    </w:p>
    <w:p w:rsidR="00D6767A" w:rsidRPr="005E046E" w:rsidRDefault="00D6767A" w:rsidP="005E046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46E">
        <w:rPr>
          <w:rFonts w:ascii="Times New Roman" w:hAnsi="Times New Roman" w:cs="Times New Roman"/>
          <w:sz w:val="24"/>
          <w:szCs w:val="24"/>
        </w:rPr>
        <w:t>Бюджетные ассигнования по данному подразделу предусмотрены на реализацию муниципальной программы "Развитие земельных и имущественных отношений". В проекте решения на реализацию данной подпрограммы предусмотрены  ассигнования на проведение землеустроительных (кадастровых) работ по земельным участкам в сумме 200,0 тыс. рублей</w:t>
      </w:r>
      <w:r w:rsidR="005E046E">
        <w:rPr>
          <w:rFonts w:ascii="Times New Roman" w:hAnsi="Times New Roman" w:cs="Times New Roman"/>
          <w:sz w:val="24"/>
          <w:szCs w:val="24"/>
        </w:rPr>
        <w:t xml:space="preserve">, </w:t>
      </w:r>
      <w:r w:rsidRPr="005E046E">
        <w:rPr>
          <w:rFonts w:ascii="Times New Roman" w:hAnsi="Times New Roman" w:cs="Times New Roman"/>
          <w:sz w:val="24"/>
          <w:szCs w:val="24"/>
        </w:rPr>
        <w:t xml:space="preserve"> на 2021 год – 200,0 тыс. рублей, на 2022 год – 200,0 тыс. рублей.</w:t>
      </w:r>
    </w:p>
    <w:p w:rsidR="003C3F93" w:rsidRDefault="00BF3190" w:rsidP="005E046E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>19,7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>17,9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C3F93" w:rsidRDefault="00BF3190" w:rsidP="005E046E">
      <w:pPr>
        <w:pBdr>
          <w:bottom w:val="single" w:sz="12" w:space="21" w:color="auto"/>
        </w:pBd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9F4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 w:rsid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>13449,5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11,7 % , или 1783,9 тыс. руб. меньше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запланированного уровня 2019 года (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C9D">
        <w:rPr>
          <w:rFonts w:ascii="Times New Roman" w:eastAsia="Times New Roman" w:hAnsi="Times New Roman" w:cs="Times New Roman"/>
          <w:sz w:val="24"/>
          <w:szCs w:val="24"/>
          <w:lang w:eastAsia="ru-RU"/>
        </w:rPr>
        <w:t>15233,4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802C9D" w:rsidRDefault="00802C9D" w:rsidP="00802C9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9D">
        <w:rPr>
          <w:rFonts w:ascii="Times New Roman" w:hAnsi="Times New Roman" w:cs="Times New Roman"/>
          <w:sz w:val="24"/>
          <w:szCs w:val="24"/>
        </w:rPr>
        <w:t>Бюджетные ассигнования по подразделу "</w:t>
      </w:r>
      <w:r w:rsidRPr="0080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хозяйство"</w:t>
      </w:r>
      <w:r w:rsidRPr="00802C9D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муниципальной программы "Модернизация и развитие сферы жилищно-коммунального хозяйства" на оплату капитального ремонта многоквартирных домов в сумме 220,0 тыс. рублей, на 2021 год – 210,0 тыс. рублей, на 2022 год – 261,0 тыс. рублей.</w:t>
      </w:r>
    </w:p>
    <w:p w:rsidR="00802C9D" w:rsidRDefault="00802C9D" w:rsidP="00802C9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C9D">
        <w:rPr>
          <w:rFonts w:ascii="Times New Roman" w:hAnsi="Times New Roman" w:cs="Times New Roman"/>
          <w:sz w:val="24"/>
          <w:szCs w:val="24"/>
        </w:rPr>
        <w:t>Бюджетные ассигнования по подразделу</w:t>
      </w:r>
      <w:r w:rsidRPr="00802C9D">
        <w:rPr>
          <w:rFonts w:ascii="Times New Roman" w:hAnsi="Times New Roman" w:cs="Times New Roman"/>
          <w:b/>
          <w:sz w:val="24"/>
          <w:szCs w:val="24"/>
        </w:rPr>
        <w:t xml:space="preserve"> «Коммунальное хозяйство»</w:t>
      </w:r>
      <w:r w:rsidRPr="00802C9D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муниципальной программы "Модернизация и развитие сферы жилищно-коммунального хозяйства". В проекте решения на реализацию данной подпрограммы предусмотрены  на покрытие убытков бани в сумме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02C9D">
        <w:rPr>
          <w:rFonts w:ascii="Times New Roman" w:hAnsi="Times New Roman" w:cs="Times New Roman"/>
          <w:sz w:val="24"/>
          <w:szCs w:val="24"/>
        </w:rPr>
        <w:t>210,0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ежегодно, а также </w:t>
      </w:r>
      <w:r w:rsidRPr="00802C9D">
        <w:rPr>
          <w:rFonts w:ascii="Times New Roman" w:hAnsi="Times New Roman" w:cs="Times New Roman"/>
          <w:sz w:val="24"/>
          <w:szCs w:val="24"/>
        </w:rPr>
        <w:t xml:space="preserve"> на строительство (реконструкцию) котельных, инженерных сетей на 2020 год 300 тыс. рублей.</w:t>
      </w:r>
    </w:p>
    <w:p w:rsidR="00802C9D" w:rsidRPr="00802C9D" w:rsidRDefault="00802C9D" w:rsidP="00802C9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9D">
        <w:rPr>
          <w:rFonts w:ascii="Times New Roman" w:hAnsi="Times New Roman" w:cs="Times New Roman"/>
          <w:sz w:val="24"/>
          <w:szCs w:val="24"/>
        </w:rPr>
        <w:t>Бюджетные ассигнования по подразделу</w:t>
      </w:r>
      <w:r w:rsidRPr="00802C9D">
        <w:rPr>
          <w:rFonts w:ascii="Times New Roman" w:hAnsi="Times New Roman" w:cs="Times New Roman"/>
          <w:b/>
          <w:sz w:val="24"/>
          <w:szCs w:val="24"/>
        </w:rPr>
        <w:t xml:space="preserve"> «Благоустройство»</w:t>
      </w:r>
      <w:r w:rsidRPr="00802C9D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 муниципальной программы "Формирование современной городской среды на территории Чувашской Республики".</w:t>
      </w:r>
    </w:p>
    <w:p w:rsidR="00802C9D" w:rsidRPr="00802C9D" w:rsidRDefault="00802C9D" w:rsidP="00802C9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9D">
        <w:rPr>
          <w:rFonts w:ascii="Times New Roman" w:hAnsi="Times New Roman" w:cs="Times New Roman"/>
          <w:sz w:val="24"/>
          <w:szCs w:val="24"/>
        </w:rPr>
        <w:t>В проекте решения на реализацию данной подпрограммы предусмотрены  ассигнования на:</w:t>
      </w:r>
    </w:p>
    <w:p w:rsidR="00802C9D" w:rsidRPr="00802C9D" w:rsidRDefault="00802C9D" w:rsidP="00802C9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9D">
        <w:rPr>
          <w:rFonts w:ascii="Times New Roman" w:hAnsi="Times New Roman" w:cs="Times New Roman"/>
          <w:sz w:val="24"/>
          <w:szCs w:val="24"/>
        </w:rPr>
        <w:t>- оплату уличного освещения в сумме 2611,2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C9D">
        <w:rPr>
          <w:rFonts w:ascii="Times New Roman" w:hAnsi="Times New Roman" w:cs="Times New Roman"/>
          <w:sz w:val="24"/>
          <w:szCs w:val="24"/>
        </w:rPr>
        <w:t xml:space="preserve"> на 2021 год – 2643,8 тыс. рублей, на 2022 год – 2643,8 тыс. рублей</w:t>
      </w:r>
    </w:p>
    <w:p w:rsidR="00802C9D" w:rsidRPr="00802C9D" w:rsidRDefault="00802C9D" w:rsidP="00802C9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9D">
        <w:rPr>
          <w:rFonts w:ascii="Times New Roman" w:hAnsi="Times New Roman" w:cs="Times New Roman"/>
          <w:sz w:val="24"/>
          <w:szCs w:val="24"/>
        </w:rPr>
        <w:t>-  мероприятия по благоустройству территорий поселения в сумме 4061,8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C9D">
        <w:rPr>
          <w:rFonts w:ascii="Times New Roman" w:hAnsi="Times New Roman" w:cs="Times New Roman"/>
          <w:sz w:val="24"/>
          <w:szCs w:val="24"/>
        </w:rPr>
        <w:t xml:space="preserve">  на 2021 год – 3973,5 тыс. рублей, на 2022 год – 3823,6 тыс. рублей.</w:t>
      </w:r>
    </w:p>
    <w:p w:rsidR="00802C9D" w:rsidRPr="00802C9D" w:rsidRDefault="00802C9D" w:rsidP="00802C9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9D">
        <w:rPr>
          <w:rFonts w:ascii="Times New Roman" w:hAnsi="Times New Roman" w:cs="Times New Roman"/>
          <w:sz w:val="24"/>
          <w:szCs w:val="24"/>
        </w:rPr>
        <w:t>- на реализацию программ формирования современной городской среды на 2020 год в сумме 6046,5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C9D">
        <w:rPr>
          <w:rFonts w:ascii="Times New Roman" w:hAnsi="Times New Roman" w:cs="Times New Roman"/>
          <w:sz w:val="24"/>
          <w:szCs w:val="24"/>
        </w:rPr>
        <w:t xml:space="preserve"> на 2021 год – 6046,5 тыс. рублей, на 2022 год – 6304,2 тыс. рублей</w:t>
      </w:r>
    </w:p>
    <w:p w:rsidR="00E81C75" w:rsidRDefault="00BF3190" w:rsidP="00E81C75">
      <w:pPr>
        <w:pBdr>
          <w:bottom w:val="single" w:sz="12" w:space="21" w:color="auto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</w:t>
      </w:r>
      <w:r w:rsidR="0030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30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52,6 %.</w:t>
      </w:r>
    </w:p>
    <w:p w:rsidR="00302AEE" w:rsidRDefault="00BF3190" w:rsidP="00302AEE">
      <w:pPr>
        <w:pBdr>
          <w:bottom w:val="single" w:sz="12" w:space="2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</w:t>
      </w:r>
      <w:r w:rsidR="00302AEE">
        <w:rPr>
          <w:rFonts w:ascii="Times New Roman" w:hAnsi="Times New Roman" w:cs="Times New Roman"/>
          <w:sz w:val="24"/>
          <w:szCs w:val="24"/>
        </w:rPr>
        <w:t xml:space="preserve">следующих программ: </w:t>
      </w:r>
    </w:p>
    <w:p w:rsidR="00302AEE" w:rsidRPr="00302AEE" w:rsidRDefault="00302AEE" w:rsidP="00302AEE">
      <w:pPr>
        <w:pBdr>
          <w:bottom w:val="single" w:sz="12" w:space="21" w:color="auto"/>
        </w:pBd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По муниципальной программе "</w:t>
      </w:r>
      <w:r w:rsidRPr="00302AEE">
        <w:rPr>
          <w:rFonts w:ascii="Times New Roman" w:hAnsi="Times New Roman" w:cs="Times New Roman"/>
          <w:i/>
          <w:sz w:val="24"/>
          <w:szCs w:val="24"/>
        </w:rPr>
        <w:t>Социальная поддержка граждан</w:t>
      </w:r>
      <w:r w:rsidRPr="00302AEE">
        <w:rPr>
          <w:rFonts w:ascii="Times New Roman" w:hAnsi="Times New Roman" w:cs="Times New Roman"/>
          <w:sz w:val="24"/>
          <w:szCs w:val="24"/>
        </w:rPr>
        <w:t>"</w:t>
      </w:r>
    </w:p>
    <w:p w:rsidR="00302AEE" w:rsidRPr="00302AEE" w:rsidRDefault="00302AEE" w:rsidP="00302AEE">
      <w:pPr>
        <w:pBdr>
          <w:bottom w:val="single" w:sz="12" w:space="2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- на проведение мероприятий, связанных с празднованием годовщины Победы в Великой Отечественной войне на 2020 год предусматриваются  25,0 тыс. рублей, на 2021 год – 25,0 тыс. рублей, на 2022 год – 25,0 тыс. рублей; </w:t>
      </w:r>
    </w:p>
    <w:p w:rsidR="00302AEE" w:rsidRPr="00302AEE" w:rsidRDefault="00302AEE" w:rsidP="00302AEE">
      <w:pPr>
        <w:pBdr>
          <w:bottom w:val="single" w:sz="12" w:space="2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-на проведение мероприятий по награждению орденом "За любовь и верность" супружеских пар, состоящих в зарегистрированном браке 50 и более лет, воспитавших детей - достойных граждан Российской Федерации на 2020 год  выделяются  30,0 тыс. руб.</w:t>
      </w:r>
    </w:p>
    <w:p w:rsidR="00302AEE" w:rsidRPr="00302AEE" w:rsidRDefault="00302AEE" w:rsidP="00302AE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Бюджетные ассигнования на  реализацию муниципальной программы </w:t>
      </w:r>
      <w:r w:rsidRPr="00302AEE">
        <w:rPr>
          <w:rFonts w:ascii="Times New Roman" w:hAnsi="Times New Roman" w:cs="Times New Roman"/>
          <w:i/>
          <w:sz w:val="24"/>
          <w:szCs w:val="24"/>
        </w:rPr>
        <w:t xml:space="preserve">"Развитие культуры и туризма" </w:t>
      </w:r>
      <w:r w:rsidRPr="00302AEE">
        <w:rPr>
          <w:rFonts w:ascii="Times New Roman" w:hAnsi="Times New Roman" w:cs="Times New Roman"/>
          <w:sz w:val="24"/>
          <w:szCs w:val="24"/>
        </w:rPr>
        <w:t>выделяются на :</w:t>
      </w:r>
    </w:p>
    <w:p w:rsidR="00302AEE" w:rsidRPr="00302AEE" w:rsidRDefault="00302AEE" w:rsidP="00302AE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-обеспечение деятельности учреждений в сфере культурно - </w:t>
      </w:r>
      <w:proofErr w:type="spellStart"/>
      <w:r w:rsidRPr="00302AE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302AEE">
        <w:rPr>
          <w:rFonts w:ascii="Times New Roman" w:hAnsi="Times New Roman" w:cs="Times New Roman"/>
          <w:sz w:val="24"/>
          <w:szCs w:val="24"/>
        </w:rPr>
        <w:t xml:space="preserve"> обслуживания населения для перечисления в бюджет Ибресинского района на содержание работников учреждений культуры на 2020 год в сумме 770,8 тыс.  рублей, на 2021 год – 770,8 тыс. рублей, на 2022 год – 770,8 тыс. рублей;</w:t>
      </w:r>
    </w:p>
    <w:p w:rsidR="00302AEE" w:rsidRDefault="00302AEE" w:rsidP="00302AE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- проведение мероприятий, связанных с празднованием юбилейных дат в сумме 125,0 тыс.  </w:t>
      </w:r>
      <w:proofErr w:type="spellStart"/>
      <w:r w:rsidRPr="00302AEE">
        <w:rPr>
          <w:rFonts w:ascii="Times New Roman" w:hAnsi="Times New Roman" w:cs="Times New Roman"/>
          <w:sz w:val="24"/>
          <w:szCs w:val="24"/>
        </w:rPr>
        <w:t>рублей,на</w:t>
      </w:r>
      <w:proofErr w:type="spellEnd"/>
      <w:r w:rsidRPr="00302AEE">
        <w:rPr>
          <w:rFonts w:ascii="Times New Roman" w:hAnsi="Times New Roman" w:cs="Times New Roman"/>
          <w:sz w:val="24"/>
          <w:szCs w:val="24"/>
        </w:rPr>
        <w:t xml:space="preserve"> 2021 год – 125,0 тыс. рублей, на 2022 год – 125,0 тыс. рублей.</w:t>
      </w:r>
    </w:p>
    <w:p w:rsidR="00302AEE" w:rsidRPr="00302AEE" w:rsidRDefault="00912F51" w:rsidP="00302AE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выделяемых бюджетных ассигнований по разделу "Культура"  на 2020 год составит 950,8 тыс. руб. , что составляет92,8 % к запланированному уровню 2019 года . </w:t>
      </w:r>
    </w:p>
    <w:p w:rsidR="0040561B" w:rsidRDefault="0040561B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912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12F51">
        <w:rPr>
          <w:rFonts w:ascii="Times New Roman" w:hAnsi="Times New Roman" w:cs="Times New Roman"/>
          <w:sz w:val="24"/>
          <w:szCs w:val="24"/>
        </w:rPr>
        <w:t xml:space="preserve"> и  2022 годов </w:t>
      </w:r>
      <w:r>
        <w:rPr>
          <w:rFonts w:ascii="Times New Roman" w:hAnsi="Times New Roman" w:cs="Times New Roman"/>
          <w:sz w:val="24"/>
          <w:szCs w:val="24"/>
        </w:rPr>
        <w:t xml:space="preserve">   сумма выделяемых средств  состав</w:t>
      </w:r>
      <w:r w:rsidR="00912F51">
        <w:rPr>
          <w:rFonts w:ascii="Times New Roman" w:hAnsi="Times New Roman" w:cs="Times New Roman"/>
          <w:sz w:val="24"/>
          <w:szCs w:val="24"/>
        </w:rPr>
        <w:t xml:space="preserve">ит 920,8 тыс. </w:t>
      </w:r>
      <w:proofErr w:type="spellStart"/>
      <w:r w:rsidR="00912F5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12F51">
        <w:rPr>
          <w:rFonts w:ascii="Times New Roman" w:hAnsi="Times New Roman" w:cs="Times New Roman"/>
          <w:sz w:val="24"/>
          <w:szCs w:val="24"/>
        </w:rPr>
        <w:t>, ежегодно.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47" w:rsidRDefault="0040561B" w:rsidP="00775C4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12F51">
        <w:rPr>
          <w:rFonts w:ascii="Times New Roman" w:hAnsi="Times New Roman" w:cs="Times New Roman"/>
          <w:sz w:val="24"/>
          <w:szCs w:val="24"/>
        </w:rPr>
        <w:t>3,7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, </w:t>
      </w:r>
      <w:r w:rsidR="000565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2021 год – </w:t>
      </w:r>
      <w:r w:rsidR="00E81C75">
        <w:rPr>
          <w:rFonts w:ascii="Times New Roman" w:hAnsi="Times New Roman" w:cs="Times New Roman"/>
          <w:sz w:val="24"/>
          <w:szCs w:val="24"/>
        </w:rPr>
        <w:t>3</w:t>
      </w:r>
      <w:r w:rsidR="00912F51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0565CF">
        <w:rPr>
          <w:rFonts w:ascii="Times New Roman" w:hAnsi="Times New Roman" w:cs="Times New Roman"/>
          <w:sz w:val="24"/>
          <w:szCs w:val="24"/>
        </w:rPr>
        <w:t>на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912F51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62D4D" w:rsidRDefault="00912F51" w:rsidP="00775C4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47">
        <w:rPr>
          <w:rFonts w:ascii="Times New Roman" w:hAnsi="Times New Roman" w:cs="Times New Roman"/>
          <w:sz w:val="24"/>
          <w:szCs w:val="24"/>
        </w:rPr>
        <w:t xml:space="preserve">Бюджетные ассигнования по </w:t>
      </w:r>
      <w:r w:rsidR="00775C47" w:rsidRPr="00362D4D">
        <w:rPr>
          <w:rFonts w:ascii="Times New Roman" w:hAnsi="Times New Roman" w:cs="Times New Roman"/>
          <w:b/>
          <w:sz w:val="24"/>
          <w:szCs w:val="24"/>
        </w:rPr>
        <w:t>разделу</w:t>
      </w:r>
      <w:r w:rsidR="00362D4D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775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C47" w:rsidRPr="00775C47">
        <w:rPr>
          <w:rFonts w:ascii="Times New Roman" w:hAnsi="Times New Roman" w:cs="Times New Roman"/>
          <w:b/>
          <w:sz w:val="24"/>
          <w:szCs w:val="24"/>
        </w:rPr>
        <w:t xml:space="preserve"> «Социальная политика»</w:t>
      </w:r>
      <w:r w:rsidR="00775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C47">
        <w:rPr>
          <w:rFonts w:ascii="Times New Roman" w:hAnsi="Times New Roman" w:cs="Times New Roman"/>
          <w:sz w:val="24"/>
          <w:szCs w:val="24"/>
        </w:rPr>
        <w:t xml:space="preserve">предусмотрены на реализацию </w:t>
      </w:r>
      <w:r w:rsidR="00775C4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362D4D">
        <w:rPr>
          <w:rFonts w:ascii="Times New Roman" w:hAnsi="Times New Roman" w:cs="Times New Roman"/>
          <w:sz w:val="24"/>
          <w:szCs w:val="24"/>
        </w:rPr>
        <w:t>программ:</w:t>
      </w:r>
    </w:p>
    <w:p w:rsidR="00912F51" w:rsidRPr="00775C47" w:rsidRDefault="00362D4D" w:rsidP="00775C4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912F51" w:rsidRPr="00775C47">
        <w:rPr>
          <w:rFonts w:ascii="Times New Roman" w:hAnsi="Times New Roman" w:cs="Times New Roman"/>
          <w:sz w:val="24"/>
          <w:szCs w:val="24"/>
        </w:rPr>
        <w:t xml:space="preserve">муниципальной программы "Социальная поддержка граждан" на выплату муниципальной пенсии на 2020 год 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</w:t>
      </w:r>
      <w:r w:rsidR="00912F51" w:rsidRPr="00775C47">
        <w:rPr>
          <w:rFonts w:ascii="Times New Roman" w:hAnsi="Times New Roman" w:cs="Times New Roman"/>
          <w:sz w:val="24"/>
          <w:szCs w:val="24"/>
        </w:rPr>
        <w:t xml:space="preserve"> 81,9 тыс. рублей</w:t>
      </w:r>
      <w:r w:rsidR="00775C47">
        <w:rPr>
          <w:rFonts w:ascii="Times New Roman" w:hAnsi="Times New Roman" w:cs="Times New Roman"/>
          <w:sz w:val="24"/>
          <w:szCs w:val="24"/>
        </w:rPr>
        <w:t>,</w:t>
      </w:r>
      <w:r w:rsidR="00912F51" w:rsidRPr="00775C47">
        <w:rPr>
          <w:rFonts w:ascii="Times New Roman" w:hAnsi="Times New Roman" w:cs="Times New Roman"/>
          <w:sz w:val="24"/>
          <w:szCs w:val="24"/>
        </w:rPr>
        <w:t xml:space="preserve"> на 2021 год – 81,9 тыс. рублей, на 2022 год – 81,9 тыс. рублей.</w:t>
      </w:r>
    </w:p>
    <w:p w:rsidR="00912F51" w:rsidRPr="002C4FC1" w:rsidRDefault="00362D4D" w:rsidP="00775C47">
      <w:pPr>
        <w:pBdr>
          <w:bottom w:val="single" w:sz="12" w:space="21" w:color="auto"/>
        </w:pBd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912F51" w:rsidRPr="00775C47">
        <w:rPr>
          <w:rFonts w:ascii="Times New Roman" w:hAnsi="Times New Roman" w:cs="Times New Roman"/>
          <w:sz w:val="24"/>
          <w:szCs w:val="24"/>
        </w:rPr>
        <w:t xml:space="preserve">муниципальной программы "Обеспечение граждан в Чувашской Республике доступным и комфортным жильем" на обеспечение жильем молодых семей  на 2020 год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предусматриваются бюджетные ассигнования в сумме </w:t>
      </w:r>
      <w:r w:rsidR="00912F51" w:rsidRPr="00775C47">
        <w:rPr>
          <w:rFonts w:ascii="Times New Roman" w:hAnsi="Times New Roman" w:cs="Times New Roman"/>
          <w:sz w:val="24"/>
          <w:szCs w:val="24"/>
        </w:rPr>
        <w:t xml:space="preserve"> 700,0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2F51" w:rsidRPr="00775C47">
        <w:rPr>
          <w:rFonts w:ascii="Times New Roman" w:hAnsi="Times New Roman" w:cs="Times New Roman"/>
          <w:sz w:val="24"/>
          <w:szCs w:val="24"/>
        </w:rPr>
        <w:t xml:space="preserve"> на 2021 год – 700,0 тыс. рублей, на 2022 год – 700,0 тыс. рублей</w:t>
      </w:r>
      <w:r w:rsidR="00912F51" w:rsidRPr="002C4FC1">
        <w:t>.</w:t>
      </w:r>
    </w:p>
    <w:p w:rsidR="00362D4D" w:rsidRPr="00302AEE" w:rsidRDefault="00362D4D" w:rsidP="00362D4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выделяемых бюджетных ассигнований по разделу "Социальная политика"  на 2020 год составит 781,9 тыс. руб. , что составляет 80,5 % к запланированному уровню 2019 года . </w:t>
      </w:r>
    </w:p>
    <w:p w:rsidR="00362D4D" w:rsidRDefault="00362D4D" w:rsidP="00362D4D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 2021 и  2022 годов   предусматривается выделение средств на уровне 2020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781,9 тыс. руб. ежегодно.</w:t>
      </w:r>
    </w:p>
    <w:p w:rsidR="00362D4D" w:rsidRDefault="00362D4D" w:rsidP="00362D4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3,1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2021 год – </w:t>
      </w:r>
      <w:r>
        <w:rPr>
          <w:rFonts w:ascii="Times New Roman" w:hAnsi="Times New Roman" w:cs="Times New Roman"/>
          <w:sz w:val="24"/>
          <w:szCs w:val="24"/>
        </w:rPr>
        <w:t xml:space="preserve">3,1%,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2022 год – </w:t>
      </w:r>
      <w:r>
        <w:rPr>
          <w:rFonts w:ascii="Times New Roman" w:hAnsi="Times New Roman" w:cs="Times New Roman"/>
          <w:sz w:val="24"/>
          <w:szCs w:val="24"/>
        </w:rPr>
        <w:t>3,0 %.</w:t>
      </w:r>
    </w:p>
    <w:p w:rsidR="00912F51" w:rsidRDefault="00912F51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D4D" w:rsidRDefault="00362D4D" w:rsidP="00362D4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4D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="002268FC" w:rsidRPr="002268FC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2268FC">
        <w:rPr>
          <w:rFonts w:ascii="Times New Roman" w:hAnsi="Times New Roman" w:cs="Times New Roman"/>
          <w:b/>
          <w:sz w:val="24"/>
          <w:szCs w:val="24"/>
        </w:rPr>
        <w:t>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4D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муниципальной программы "Развитие физической культуры и спорта" на проведение спортивных мероприятий в сумме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62D4D">
        <w:rPr>
          <w:rFonts w:ascii="Times New Roman" w:hAnsi="Times New Roman" w:cs="Times New Roman"/>
          <w:sz w:val="24"/>
          <w:szCs w:val="24"/>
        </w:rPr>
        <w:t xml:space="preserve">70,0 тыс. рублей </w:t>
      </w:r>
      <w:r>
        <w:rPr>
          <w:rFonts w:ascii="Times New Roman" w:hAnsi="Times New Roman" w:cs="Times New Roman"/>
          <w:sz w:val="24"/>
          <w:szCs w:val="24"/>
        </w:rPr>
        <w:t>ежегодно.</w:t>
      </w:r>
    </w:p>
    <w:p w:rsidR="002268FC" w:rsidRDefault="00362D4D" w:rsidP="00362D4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 утвержденным бюджетным назначением  2019 года ( 275,0 тыс. руб.) расходы</w:t>
      </w:r>
      <w:r w:rsidR="002268FC">
        <w:rPr>
          <w:rFonts w:ascii="Times New Roman" w:hAnsi="Times New Roman" w:cs="Times New Roman"/>
          <w:sz w:val="24"/>
          <w:szCs w:val="24"/>
        </w:rPr>
        <w:t xml:space="preserve"> в  2020 году </w:t>
      </w:r>
      <w:r>
        <w:rPr>
          <w:rFonts w:ascii="Times New Roman" w:hAnsi="Times New Roman" w:cs="Times New Roman"/>
          <w:sz w:val="24"/>
          <w:szCs w:val="24"/>
        </w:rPr>
        <w:t xml:space="preserve">  уменьшатся в 4,0 раза</w:t>
      </w:r>
      <w:r w:rsidR="002268FC">
        <w:rPr>
          <w:rFonts w:ascii="Times New Roman" w:hAnsi="Times New Roman" w:cs="Times New Roman"/>
          <w:sz w:val="24"/>
          <w:szCs w:val="24"/>
        </w:rPr>
        <w:t>.</w:t>
      </w:r>
    </w:p>
    <w:p w:rsidR="002268FC" w:rsidRDefault="002268FC" w:rsidP="002268F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0,3</w:t>
      </w:r>
      <w:r w:rsidRPr="0040561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51" w:rsidRDefault="00912F51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8FC" w:rsidRDefault="002268FC" w:rsidP="002268F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FC">
        <w:rPr>
          <w:rFonts w:ascii="Times New Roman" w:hAnsi="Times New Roman" w:cs="Times New Roman"/>
          <w:sz w:val="24"/>
          <w:szCs w:val="24"/>
        </w:rPr>
        <w:t>Согласно статье 184.1 Бюджетного кодекса Российской Федерации законом о бюджете устанавливается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общего объема расходов бюджета, на второй год планового периода в объеме не менее 5% общего объема расходов бюджета.</w:t>
      </w:r>
    </w:p>
    <w:p w:rsidR="002268FC" w:rsidRDefault="002268FC" w:rsidP="003C3F93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FC">
        <w:rPr>
          <w:rFonts w:ascii="Times New Roman" w:hAnsi="Times New Roman" w:cs="Times New Roman"/>
          <w:sz w:val="24"/>
          <w:szCs w:val="24"/>
        </w:rPr>
        <w:t>Условно утвержденные расходы предусмотрены в 2021 году в сумме 399,2 тыс. рублей, в 2022 году – 814,1 тыс. рублей</w:t>
      </w:r>
      <w:r w:rsidR="00BF3190" w:rsidRPr="00226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целевое назначение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3C3F93" w:rsidRDefault="00BF3190" w:rsidP="003C3F93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6D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и источники его финансирования</w:t>
      </w:r>
      <w:r w:rsidR="003C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3C3F93" w:rsidRDefault="00BF3190" w:rsidP="003C3F93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r w:rsidR="0067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670DC6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F93" w:rsidRPr="007212B8" w:rsidRDefault="00BF3190" w:rsidP="003C3F93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и предложения</w:t>
      </w:r>
      <w:r w:rsidR="003C3F93" w:rsidRPr="00721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688" w:rsidRDefault="00B401C6" w:rsidP="00B401C6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4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688">
        <w:rPr>
          <w:rFonts w:ascii="Times New Roman" w:hAnsi="Times New Roman" w:cs="Times New Roman"/>
          <w:sz w:val="24"/>
          <w:szCs w:val="24"/>
        </w:rPr>
        <w:t>В процессе проведения эксперт</w:t>
      </w:r>
      <w:r w:rsidR="00C46742">
        <w:rPr>
          <w:rFonts w:ascii="Times New Roman" w:hAnsi="Times New Roman" w:cs="Times New Roman"/>
          <w:sz w:val="24"/>
          <w:szCs w:val="24"/>
        </w:rPr>
        <w:t>и</w:t>
      </w:r>
      <w:r w:rsidR="006B1688">
        <w:rPr>
          <w:rFonts w:ascii="Times New Roman" w:hAnsi="Times New Roman" w:cs="Times New Roman"/>
          <w:sz w:val="24"/>
          <w:szCs w:val="24"/>
        </w:rPr>
        <w:t>зы проекта решения Собрания депутатов  Контрольно-счетным органом Ибресинского района выявлены следующие недостатки  :</w:t>
      </w:r>
    </w:p>
    <w:p w:rsidR="00B401C6" w:rsidRDefault="006B1688" w:rsidP="00B401C6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401C6">
        <w:rPr>
          <w:rFonts w:ascii="Times New Roman" w:hAnsi="Times New Roman" w:cs="Times New Roman"/>
          <w:sz w:val="24"/>
          <w:szCs w:val="24"/>
        </w:rPr>
        <w:t xml:space="preserve">ри планировании  поступления  </w:t>
      </w:r>
      <w:r w:rsidR="00B401C6" w:rsidRPr="006B1688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 w:rsidR="00B401C6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 w:rsidR="00B401C6">
        <w:rPr>
          <w:rFonts w:ascii="Times New Roman" w:hAnsi="Times New Roman" w:cs="Times New Roman"/>
          <w:sz w:val="24"/>
          <w:szCs w:val="24"/>
        </w:rPr>
        <w:t xml:space="preserve"> в сумме 1150,0 тыс. руб.  допущено необоснованное занижение  объемов   поступления  к сумме ожидаемого поступления налога  в 2019 году( 1338,3 тыс. руб.)  на 14% , или 188,3 тыс. руб.  </w:t>
      </w:r>
    </w:p>
    <w:p w:rsidR="006B1688" w:rsidRPr="006B1688" w:rsidRDefault="006B1688" w:rsidP="006B1688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6B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Ибресинского городского поселения на  2020 год не включены доходы от перечисления части прибыли , остающейся  после уплаты налогов и иных обязательных платежей муниципальных унитарных предприятий, созданных городским поселением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КБК 993 11107015130000120.</w:t>
      </w:r>
    </w:p>
    <w:p w:rsidR="003C3F93" w:rsidRDefault="00C46742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6B1688">
        <w:rPr>
          <w:rFonts w:ascii="Times New Roman" w:eastAsia="Times New Roman" w:hAnsi="Times New Roman" w:cs="Times New Roman"/>
          <w:sz w:val="24"/>
          <w:szCs w:val="24"/>
          <w:lang w:eastAsia="ru-RU"/>
        </w:rPr>
        <w:t>25554,5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6B1688">
        <w:rPr>
          <w:rFonts w:ascii="Times New Roman" w:eastAsia="Times New Roman" w:hAnsi="Times New Roman" w:cs="Times New Roman"/>
          <w:sz w:val="24"/>
          <w:szCs w:val="24"/>
          <w:lang w:eastAsia="ru-RU"/>
        </w:rPr>
        <w:t>25102,3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6B1688">
        <w:rPr>
          <w:rFonts w:ascii="Times New Roman" w:eastAsia="Times New Roman" w:hAnsi="Times New Roman" w:cs="Times New Roman"/>
          <w:sz w:val="24"/>
          <w:szCs w:val="24"/>
          <w:lang w:eastAsia="ru-RU"/>
        </w:rPr>
        <w:t>26476,4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6B1688">
        <w:rPr>
          <w:rFonts w:ascii="Times New Roman" w:eastAsia="Times New Roman" w:hAnsi="Times New Roman" w:cs="Times New Roman"/>
          <w:sz w:val="24"/>
          <w:szCs w:val="24"/>
          <w:lang w:eastAsia="ru-RU"/>
        </w:rPr>
        <w:t>25554,5</w:t>
      </w:r>
      <w:r w:rsidR="006B1688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6B16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2021 год –25102,3 тыс. рублей, на 2022 год – 26476,4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B1688">
        <w:rPr>
          <w:rFonts w:ascii="Times New Roman" w:eastAsia="Times New Roman" w:hAnsi="Times New Roman" w:cs="Times New Roman"/>
          <w:sz w:val="24"/>
          <w:szCs w:val="24"/>
          <w:lang w:eastAsia="ru-RU"/>
        </w:rPr>
        <w:t>399,2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6B1688">
        <w:rPr>
          <w:rFonts w:ascii="Times New Roman" w:eastAsia="Times New Roman" w:hAnsi="Times New Roman" w:cs="Times New Roman"/>
          <w:sz w:val="24"/>
          <w:szCs w:val="24"/>
          <w:lang w:eastAsia="ru-RU"/>
        </w:rPr>
        <w:t>814,1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C3F93" w:rsidRDefault="00FF3BAD" w:rsidP="00FF3BAD">
      <w:pPr>
        <w:pBdr>
          <w:bottom w:val="single" w:sz="12" w:space="2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67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670DC6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6D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</w:t>
      </w:r>
      <w:r w:rsidR="00C4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устранения выявленных недостатков.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3F93" w:rsidRDefault="003C3F93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  <w:r w:rsidR="003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A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Pr="000B72E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BAD" w:rsidRPr="000B72E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B1" w:rsidRDefault="001465B1" w:rsidP="00B1668B">
      <w:pPr>
        <w:spacing w:after="0" w:line="240" w:lineRule="auto"/>
      </w:pPr>
      <w:r>
        <w:separator/>
      </w:r>
    </w:p>
  </w:endnote>
  <w:endnote w:type="continuationSeparator" w:id="0">
    <w:p w:rsidR="001465B1" w:rsidRDefault="001465B1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B1" w:rsidRDefault="001465B1" w:rsidP="00B1668B">
      <w:pPr>
        <w:spacing w:after="0" w:line="240" w:lineRule="auto"/>
      </w:pPr>
      <w:r>
        <w:separator/>
      </w:r>
    </w:p>
  </w:footnote>
  <w:footnote w:type="continuationSeparator" w:id="0">
    <w:p w:rsidR="001465B1" w:rsidRDefault="001465B1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7985"/>
    <w:rsid w:val="00030E36"/>
    <w:rsid w:val="00036767"/>
    <w:rsid w:val="0004144C"/>
    <w:rsid w:val="00042891"/>
    <w:rsid w:val="000565CF"/>
    <w:rsid w:val="00063062"/>
    <w:rsid w:val="00070853"/>
    <w:rsid w:val="00070C59"/>
    <w:rsid w:val="00076064"/>
    <w:rsid w:val="00082CC8"/>
    <w:rsid w:val="00083983"/>
    <w:rsid w:val="00093D75"/>
    <w:rsid w:val="000C0986"/>
    <w:rsid w:val="000C1F1C"/>
    <w:rsid w:val="000C4EEB"/>
    <w:rsid w:val="000C773C"/>
    <w:rsid w:val="000D6F88"/>
    <w:rsid w:val="000E4226"/>
    <w:rsid w:val="000E4AF7"/>
    <w:rsid w:val="00104BC5"/>
    <w:rsid w:val="00123F68"/>
    <w:rsid w:val="00136E68"/>
    <w:rsid w:val="00140F45"/>
    <w:rsid w:val="00143854"/>
    <w:rsid w:val="001465B1"/>
    <w:rsid w:val="001510D3"/>
    <w:rsid w:val="0015765C"/>
    <w:rsid w:val="00162E87"/>
    <w:rsid w:val="001816CA"/>
    <w:rsid w:val="001842CA"/>
    <w:rsid w:val="001A0E23"/>
    <w:rsid w:val="001D05CC"/>
    <w:rsid w:val="00200405"/>
    <w:rsid w:val="002268FC"/>
    <w:rsid w:val="0023175C"/>
    <w:rsid w:val="002654BF"/>
    <w:rsid w:val="002847A9"/>
    <w:rsid w:val="00291152"/>
    <w:rsid w:val="00294399"/>
    <w:rsid w:val="002A6152"/>
    <w:rsid w:val="002B41C3"/>
    <w:rsid w:val="002B4369"/>
    <w:rsid w:val="002B4D95"/>
    <w:rsid w:val="002C0229"/>
    <w:rsid w:val="002C5B93"/>
    <w:rsid w:val="002C7A96"/>
    <w:rsid w:val="002D5656"/>
    <w:rsid w:val="002D7C4B"/>
    <w:rsid w:val="002F6DC9"/>
    <w:rsid w:val="002F7421"/>
    <w:rsid w:val="00302AEE"/>
    <w:rsid w:val="003034A5"/>
    <w:rsid w:val="003165C7"/>
    <w:rsid w:val="00321189"/>
    <w:rsid w:val="0032598E"/>
    <w:rsid w:val="00337962"/>
    <w:rsid w:val="00344437"/>
    <w:rsid w:val="0035748D"/>
    <w:rsid w:val="00360E0D"/>
    <w:rsid w:val="00362D4D"/>
    <w:rsid w:val="003670B2"/>
    <w:rsid w:val="0037526F"/>
    <w:rsid w:val="0037772C"/>
    <w:rsid w:val="003804B9"/>
    <w:rsid w:val="00381A08"/>
    <w:rsid w:val="00384AA0"/>
    <w:rsid w:val="00391901"/>
    <w:rsid w:val="003979FD"/>
    <w:rsid w:val="003A037C"/>
    <w:rsid w:val="003C29F6"/>
    <w:rsid w:val="003C2E26"/>
    <w:rsid w:val="003C3F93"/>
    <w:rsid w:val="003E3B2D"/>
    <w:rsid w:val="003F0895"/>
    <w:rsid w:val="003F1481"/>
    <w:rsid w:val="0040561B"/>
    <w:rsid w:val="00416004"/>
    <w:rsid w:val="004219FB"/>
    <w:rsid w:val="004223C9"/>
    <w:rsid w:val="00422E59"/>
    <w:rsid w:val="00426DA9"/>
    <w:rsid w:val="00427294"/>
    <w:rsid w:val="0043666E"/>
    <w:rsid w:val="00441CAB"/>
    <w:rsid w:val="00467B69"/>
    <w:rsid w:val="00483522"/>
    <w:rsid w:val="004A2E6F"/>
    <w:rsid w:val="004B13AD"/>
    <w:rsid w:val="004B6354"/>
    <w:rsid w:val="004E062B"/>
    <w:rsid w:val="004E5AAC"/>
    <w:rsid w:val="004E7214"/>
    <w:rsid w:val="0050100A"/>
    <w:rsid w:val="00511C71"/>
    <w:rsid w:val="00515ACA"/>
    <w:rsid w:val="00516353"/>
    <w:rsid w:val="0052689A"/>
    <w:rsid w:val="00540DA7"/>
    <w:rsid w:val="00541875"/>
    <w:rsid w:val="00564C6F"/>
    <w:rsid w:val="00574AF1"/>
    <w:rsid w:val="005A25BE"/>
    <w:rsid w:val="005B10A6"/>
    <w:rsid w:val="005C08DF"/>
    <w:rsid w:val="005C3245"/>
    <w:rsid w:val="005D2674"/>
    <w:rsid w:val="005E046E"/>
    <w:rsid w:val="005E1E5C"/>
    <w:rsid w:val="005E39AC"/>
    <w:rsid w:val="00630C6D"/>
    <w:rsid w:val="00634331"/>
    <w:rsid w:val="00635885"/>
    <w:rsid w:val="00654751"/>
    <w:rsid w:val="00654E10"/>
    <w:rsid w:val="00655474"/>
    <w:rsid w:val="00655DFD"/>
    <w:rsid w:val="0066359D"/>
    <w:rsid w:val="00666B58"/>
    <w:rsid w:val="00670DC6"/>
    <w:rsid w:val="00681006"/>
    <w:rsid w:val="00691CFC"/>
    <w:rsid w:val="00692FE0"/>
    <w:rsid w:val="006A1E18"/>
    <w:rsid w:val="006A4E1A"/>
    <w:rsid w:val="006B1688"/>
    <w:rsid w:val="006B7549"/>
    <w:rsid w:val="006C0A64"/>
    <w:rsid w:val="006C1974"/>
    <w:rsid w:val="006D21E0"/>
    <w:rsid w:val="006D31C4"/>
    <w:rsid w:val="006E2AFA"/>
    <w:rsid w:val="007046A9"/>
    <w:rsid w:val="007139F1"/>
    <w:rsid w:val="007150BE"/>
    <w:rsid w:val="0072039F"/>
    <w:rsid w:val="007212B8"/>
    <w:rsid w:val="0072217C"/>
    <w:rsid w:val="00722BB5"/>
    <w:rsid w:val="00723D17"/>
    <w:rsid w:val="007336DB"/>
    <w:rsid w:val="0074252B"/>
    <w:rsid w:val="007563E3"/>
    <w:rsid w:val="007613AC"/>
    <w:rsid w:val="007662BA"/>
    <w:rsid w:val="0077069E"/>
    <w:rsid w:val="00772130"/>
    <w:rsid w:val="00774997"/>
    <w:rsid w:val="00775C47"/>
    <w:rsid w:val="0078570D"/>
    <w:rsid w:val="00785F28"/>
    <w:rsid w:val="007A40C5"/>
    <w:rsid w:val="007B6FDC"/>
    <w:rsid w:val="007C6219"/>
    <w:rsid w:val="007E4C78"/>
    <w:rsid w:val="007E5A2D"/>
    <w:rsid w:val="00801008"/>
    <w:rsid w:val="00802C9D"/>
    <w:rsid w:val="00817E68"/>
    <w:rsid w:val="00821923"/>
    <w:rsid w:val="00845D4A"/>
    <w:rsid w:val="00850A9B"/>
    <w:rsid w:val="008659BD"/>
    <w:rsid w:val="00865A7D"/>
    <w:rsid w:val="00866E6F"/>
    <w:rsid w:val="00870D48"/>
    <w:rsid w:val="0088098D"/>
    <w:rsid w:val="008A77E8"/>
    <w:rsid w:val="008E151E"/>
    <w:rsid w:val="008E2A20"/>
    <w:rsid w:val="009031F1"/>
    <w:rsid w:val="00912F51"/>
    <w:rsid w:val="00931E42"/>
    <w:rsid w:val="00942B4C"/>
    <w:rsid w:val="00943DBA"/>
    <w:rsid w:val="00951B74"/>
    <w:rsid w:val="00951D39"/>
    <w:rsid w:val="00960813"/>
    <w:rsid w:val="00970E23"/>
    <w:rsid w:val="009A1C28"/>
    <w:rsid w:val="009A37FF"/>
    <w:rsid w:val="009B52E0"/>
    <w:rsid w:val="009C1BCC"/>
    <w:rsid w:val="009C2909"/>
    <w:rsid w:val="009C5262"/>
    <w:rsid w:val="009E7133"/>
    <w:rsid w:val="009F4E8E"/>
    <w:rsid w:val="00A057DF"/>
    <w:rsid w:val="00A20D44"/>
    <w:rsid w:val="00A2545E"/>
    <w:rsid w:val="00A33B81"/>
    <w:rsid w:val="00A724EA"/>
    <w:rsid w:val="00A76A58"/>
    <w:rsid w:val="00A927AD"/>
    <w:rsid w:val="00A9337E"/>
    <w:rsid w:val="00A94595"/>
    <w:rsid w:val="00AA683C"/>
    <w:rsid w:val="00AB31CF"/>
    <w:rsid w:val="00AD6650"/>
    <w:rsid w:val="00AE25DC"/>
    <w:rsid w:val="00AF42CD"/>
    <w:rsid w:val="00AF6677"/>
    <w:rsid w:val="00B01C52"/>
    <w:rsid w:val="00B06073"/>
    <w:rsid w:val="00B0689B"/>
    <w:rsid w:val="00B07C1F"/>
    <w:rsid w:val="00B1668B"/>
    <w:rsid w:val="00B232C0"/>
    <w:rsid w:val="00B353D7"/>
    <w:rsid w:val="00B357C3"/>
    <w:rsid w:val="00B401C6"/>
    <w:rsid w:val="00B43D19"/>
    <w:rsid w:val="00B7334C"/>
    <w:rsid w:val="00B825AF"/>
    <w:rsid w:val="00B853CD"/>
    <w:rsid w:val="00BA0E35"/>
    <w:rsid w:val="00BB3DF8"/>
    <w:rsid w:val="00BC4C6B"/>
    <w:rsid w:val="00BC7E0F"/>
    <w:rsid w:val="00BF3190"/>
    <w:rsid w:val="00C21EA4"/>
    <w:rsid w:val="00C30679"/>
    <w:rsid w:val="00C46742"/>
    <w:rsid w:val="00C56C50"/>
    <w:rsid w:val="00C641CF"/>
    <w:rsid w:val="00C70B62"/>
    <w:rsid w:val="00C72587"/>
    <w:rsid w:val="00C728AB"/>
    <w:rsid w:val="00C80A3B"/>
    <w:rsid w:val="00C822B0"/>
    <w:rsid w:val="00C971C9"/>
    <w:rsid w:val="00CA70EC"/>
    <w:rsid w:val="00CC5CA0"/>
    <w:rsid w:val="00CC75B2"/>
    <w:rsid w:val="00CC795E"/>
    <w:rsid w:val="00CC7AB5"/>
    <w:rsid w:val="00CD7E49"/>
    <w:rsid w:val="00CE1096"/>
    <w:rsid w:val="00CE3499"/>
    <w:rsid w:val="00CE4FC0"/>
    <w:rsid w:val="00D07636"/>
    <w:rsid w:val="00D118EA"/>
    <w:rsid w:val="00D137F0"/>
    <w:rsid w:val="00D170C1"/>
    <w:rsid w:val="00D26CAC"/>
    <w:rsid w:val="00D417B1"/>
    <w:rsid w:val="00D43508"/>
    <w:rsid w:val="00D5479C"/>
    <w:rsid w:val="00D54B45"/>
    <w:rsid w:val="00D63A98"/>
    <w:rsid w:val="00D6767A"/>
    <w:rsid w:val="00D76A4C"/>
    <w:rsid w:val="00D844CF"/>
    <w:rsid w:val="00DA730C"/>
    <w:rsid w:val="00DE56B7"/>
    <w:rsid w:val="00DE7351"/>
    <w:rsid w:val="00E00749"/>
    <w:rsid w:val="00E02E32"/>
    <w:rsid w:val="00E07A83"/>
    <w:rsid w:val="00E10833"/>
    <w:rsid w:val="00E13A6A"/>
    <w:rsid w:val="00E33644"/>
    <w:rsid w:val="00E34EAE"/>
    <w:rsid w:val="00E3509A"/>
    <w:rsid w:val="00E47499"/>
    <w:rsid w:val="00E62C64"/>
    <w:rsid w:val="00E670DF"/>
    <w:rsid w:val="00E70FCC"/>
    <w:rsid w:val="00E76557"/>
    <w:rsid w:val="00E81C75"/>
    <w:rsid w:val="00E82256"/>
    <w:rsid w:val="00E85800"/>
    <w:rsid w:val="00E8671D"/>
    <w:rsid w:val="00E96867"/>
    <w:rsid w:val="00EB7DCC"/>
    <w:rsid w:val="00EE5D07"/>
    <w:rsid w:val="00EF2D4C"/>
    <w:rsid w:val="00EF5A01"/>
    <w:rsid w:val="00F13994"/>
    <w:rsid w:val="00F1775F"/>
    <w:rsid w:val="00F2725F"/>
    <w:rsid w:val="00F27429"/>
    <w:rsid w:val="00F40321"/>
    <w:rsid w:val="00F521EE"/>
    <w:rsid w:val="00F53694"/>
    <w:rsid w:val="00F536FE"/>
    <w:rsid w:val="00F543F4"/>
    <w:rsid w:val="00F63343"/>
    <w:rsid w:val="00F656FC"/>
    <w:rsid w:val="00F67F03"/>
    <w:rsid w:val="00F76924"/>
    <w:rsid w:val="00F8591E"/>
    <w:rsid w:val="00F922DD"/>
    <w:rsid w:val="00F948EB"/>
    <w:rsid w:val="00FA6DE8"/>
    <w:rsid w:val="00FA6E95"/>
    <w:rsid w:val="00FB34BA"/>
    <w:rsid w:val="00FD4981"/>
    <w:rsid w:val="00FE04AE"/>
    <w:rsid w:val="00FE6B44"/>
    <w:rsid w:val="00FF0354"/>
    <w:rsid w:val="00FF3BAD"/>
    <w:rsid w:val="00FF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B4BF-B0CB-4294-82BB-187A7FB5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4</cp:revision>
  <cp:lastPrinted>2019-12-27T11:54:00Z</cp:lastPrinted>
  <dcterms:created xsi:type="dcterms:W3CDTF">2019-12-27T11:46:00Z</dcterms:created>
  <dcterms:modified xsi:type="dcterms:W3CDTF">2019-12-27T11:55:00Z</dcterms:modified>
</cp:coreProperties>
</file>