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B8581B" w:rsidRDefault="006337F9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.11.2019                                                                                                      № </w:t>
      </w:r>
      <w:r w:rsidR="00860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96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964B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BC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Малокармалинского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BC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Малокармалинского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Малокармалинском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соответствует требованиям  Положения «О регулировании бюджетных правоотношений в </w:t>
      </w:r>
      <w:proofErr w:type="spellStart"/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Малокармалинском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62BA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ями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proofErr w:type="spellStart"/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Малокармалинском</w:t>
      </w:r>
      <w:proofErr w:type="spellEnd"/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r w:rsidR="00BC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Малокармалинского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2020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2021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2022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412136" w:rsidRPr="00070853" w:rsidTr="00271D79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Pr="009A1C28" w:rsidRDefault="00412136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5160,3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4566,7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3390,8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105,1</w:t>
            </w:r>
          </w:p>
        </w:tc>
      </w:tr>
      <w:tr w:rsidR="00412136" w:rsidRPr="00070853" w:rsidTr="00271D79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Pr="009A1C28" w:rsidRDefault="00412136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5314,0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4566,7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3390,8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105,1</w:t>
            </w:r>
          </w:p>
        </w:tc>
      </w:tr>
      <w:tr w:rsidR="00412136" w:rsidRPr="00070853" w:rsidTr="002C5B93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Pr="009A1C28" w:rsidRDefault="00412136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-153,7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31F51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A4B4C">
        <w:rPr>
          <w:rFonts w:ascii="Times New Roman" w:eastAsia="Times New Roman" w:hAnsi="Times New Roman" w:cs="Times New Roman"/>
          <w:sz w:val="24"/>
          <w:szCs w:val="24"/>
          <w:lang w:eastAsia="ru-RU"/>
        </w:rPr>
        <w:t>736,3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7A4B4C">
        <w:rPr>
          <w:rFonts w:ascii="Times New Roman" w:eastAsia="Times New Roman" w:hAnsi="Times New Roman" w:cs="Times New Roman"/>
          <w:sz w:val="24"/>
          <w:szCs w:val="24"/>
          <w:lang w:eastAsia="ru-RU"/>
        </w:rPr>
        <w:t>735,2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7A4B4C">
        <w:rPr>
          <w:rFonts w:ascii="Times New Roman" w:eastAsia="Times New Roman" w:hAnsi="Times New Roman" w:cs="Times New Roman"/>
          <w:sz w:val="24"/>
          <w:szCs w:val="24"/>
          <w:lang w:eastAsia="ru-RU"/>
        </w:rPr>
        <w:t>936,9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7A4B4C">
        <w:rPr>
          <w:rFonts w:ascii="Times New Roman" w:eastAsia="Times New Roman" w:hAnsi="Times New Roman" w:cs="Times New Roman"/>
          <w:sz w:val="24"/>
          <w:szCs w:val="24"/>
          <w:lang w:eastAsia="ru-RU"/>
        </w:rPr>
        <w:t>71,6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2022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7A4B4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141,6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тыс. рублей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Малокармалинского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7A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5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BC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Малокармалинского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BC1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Малокармалинского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BC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Малокармалинского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BC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Малокармалинском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основных направлений бюджетной политики Правительства Российской Федерации и Чувашской Республики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годах,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BC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Малокармалинского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23.07.2001 </w:t>
      </w:r>
      <w:proofErr w:type="spellStart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spellEnd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36.</w:t>
      </w:r>
    </w:p>
    <w:p w:rsidR="006C1974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BC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Малокармалинского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2A20" w:rsidRPr="002C0229" w:rsidRDefault="008E2A20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</w:t>
      </w:r>
      <w:r w:rsidR="00BC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Малокармалинского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прогнозируются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сумме</w:t>
      </w:r>
      <w:r w:rsidR="00383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4566,7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A4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3390,8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– </w:t>
      </w:r>
      <w:r w:rsidR="007A4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3562,9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  <w:r w:rsidR="00BF3190" w:rsidRPr="0038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5F1E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7B5F1E" w:rsidRDefault="007B5F1E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20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2C0229" w:rsidRDefault="008E2A20" w:rsidP="003E1B8B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2019 год (решение о бюджете) сумма </w:t>
            </w:r>
          </w:p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C36120" w:rsidRPr="002C0229" w:rsidTr="007B5F1E">
        <w:trPr>
          <w:trHeight w:val="471"/>
        </w:trPr>
        <w:tc>
          <w:tcPr>
            <w:tcW w:w="1985" w:type="dxa"/>
            <w:shd w:val="clear" w:color="auto" w:fill="auto"/>
          </w:tcPr>
          <w:p w:rsidR="00C36120" w:rsidRPr="002C0229" w:rsidRDefault="00C36120" w:rsidP="003E1B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</w:tcPr>
          <w:p w:rsidR="00C36120" w:rsidRDefault="00C36120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5160,3</w:t>
            </w:r>
          </w:p>
        </w:tc>
        <w:tc>
          <w:tcPr>
            <w:tcW w:w="992" w:type="dxa"/>
            <w:shd w:val="clear" w:color="auto" w:fill="auto"/>
          </w:tcPr>
          <w:p w:rsidR="00C36120" w:rsidRDefault="00C36120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4566,7</w:t>
            </w:r>
          </w:p>
        </w:tc>
        <w:tc>
          <w:tcPr>
            <w:tcW w:w="1276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61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992" w:type="dxa"/>
            <w:shd w:val="clear" w:color="auto" w:fill="auto"/>
          </w:tcPr>
          <w:p w:rsidR="00C36120" w:rsidRDefault="00C36120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3390,8</w:t>
            </w:r>
          </w:p>
        </w:tc>
        <w:tc>
          <w:tcPr>
            <w:tcW w:w="1276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TimesET" w:hAnsi="TimesET"/>
                <w:bCs/>
                <w:color w:val="000000"/>
                <w:sz w:val="20"/>
                <w:szCs w:val="20"/>
              </w:rPr>
            </w:pPr>
            <w:r w:rsidRPr="00C36120">
              <w:rPr>
                <w:rFonts w:ascii="TimesET" w:hAnsi="TimesET"/>
                <w:bCs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124" w:type="dxa"/>
            <w:shd w:val="clear" w:color="auto" w:fill="auto"/>
          </w:tcPr>
          <w:p w:rsidR="00C36120" w:rsidRDefault="00C36120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3562,9</w:t>
            </w:r>
          </w:p>
        </w:tc>
        <w:tc>
          <w:tcPr>
            <w:tcW w:w="968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TimesET" w:hAnsi="TimesET"/>
                <w:bCs/>
                <w:color w:val="000000"/>
                <w:sz w:val="20"/>
                <w:szCs w:val="20"/>
              </w:rPr>
            </w:pPr>
            <w:r w:rsidRPr="00C36120">
              <w:rPr>
                <w:rFonts w:ascii="TimesET" w:hAnsi="TimesET"/>
                <w:bCs/>
                <w:color w:val="000000"/>
                <w:sz w:val="20"/>
                <w:szCs w:val="20"/>
              </w:rPr>
              <w:t>105,1</w:t>
            </w:r>
          </w:p>
        </w:tc>
      </w:tr>
      <w:tr w:rsidR="00C36120" w:rsidRPr="002C0229" w:rsidTr="00C36120">
        <w:trPr>
          <w:trHeight w:val="267"/>
        </w:trPr>
        <w:tc>
          <w:tcPr>
            <w:tcW w:w="1985" w:type="dxa"/>
            <w:shd w:val="clear" w:color="auto" w:fill="auto"/>
          </w:tcPr>
          <w:p w:rsidR="00C36120" w:rsidRPr="002C0229" w:rsidRDefault="00C36120" w:rsidP="00C361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29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C36120" w:rsidRDefault="00C36120" w:rsidP="00C3612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36120" w:rsidRDefault="00C36120" w:rsidP="00C3612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36120" w:rsidRPr="00C36120" w:rsidRDefault="00C36120" w:rsidP="00C361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36120" w:rsidRDefault="00C36120" w:rsidP="00C3612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36120" w:rsidRPr="00C36120" w:rsidRDefault="00C36120" w:rsidP="00C36120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61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C36120" w:rsidRDefault="00C36120" w:rsidP="00C3612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C36120" w:rsidRPr="00C36120" w:rsidRDefault="00C36120" w:rsidP="00C36120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61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36120" w:rsidRPr="002C0229" w:rsidTr="007B5F1E">
        <w:trPr>
          <w:trHeight w:val="557"/>
        </w:trPr>
        <w:tc>
          <w:tcPr>
            <w:tcW w:w="1985" w:type="dxa"/>
            <w:shd w:val="clear" w:color="auto" w:fill="auto"/>
          </w:tcPr>
          <w:p w:rsidR="00C36120" w:rsidRPr="002C0229" w:rsidRDefault="00C36120" w:rsidP="00C3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36120">
              <w:rPr>
                <w:rFonts w:ascii="Calibri" w:hAnsi="Calibri"/>
                <w:b/>
                <w:color w:val="000000"/>
              </w:rPr>
              <w:t>706,7</w:t>
            </w:r>
          </w:p>
        </w:tc>
        <w:tc>
          <w:tcPr>
            <w:tcW w:w="992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36120">
              <w:rPr>
                <w:rFonts w:ascii="Calibri" w:hAnsi="Calibri"/>
                <w:b/>
                <w:color w:val="000000"/>
              </w:rPr>
              <w:t>744,8</w:t>
            </w:r>
          </w:p>
        </w:tc>
        <w:tc>
          <w:tcPr>
            <w:tcW w:w="1276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61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992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36120">
              <w:rPr>
                <w:rFonts w:ascii="Calibri" w:hAnsi="Calibri"/>
                <w:b/>
                <w:color w:val="000000"/>
              </w:rPr>
              <w:t>757,2</w:t>
            </w:r>
          </w:p>
        </w:tc>
        <w:tc>
          <w:tcPr>
            <w:tcW w:w="1276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TimesET" w:hAnsi="TimesET"/>
                <w:bCs/>
                <w:color w:val="000000"/>
                <w:sz w:val="20"/>
                <w:szCs w:val="20"/>
              </w:rPr>
            </w:pPr>
            <w:r w:rsidRPr="00C36120">
              <w:rPr>
                <w:rFonts w:ascii="TimesET" w:hAnsi="TimesET"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24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36120">
              <w:rPr>
                <w:rFonts w:ascii="Calibri" w:hAnsi="Calibri"/>
                <w:b/>
                <w:color w:val="000000"/>
              </w:rPr>
              <w:t>767,9</w:t>
            </w:r>
          </w:p>
        </w:tc>
        <w:tc>
          <w:tcPr>
            <w:tcW w:w="968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TimesET" w:hAnsi="TimesET"/>
                <w:bCs/>
                <w:color w:val="000000"/>
                <w:sz w:val="20"/>
                <w:szCs w:val="20"/>
              </w:rPr>
            </w:pPr>
            <w:r w:rsidRPr="00C36120">
              <w:rPr>
                <w:rFonts w:ascii="TimesET" w:hAnsi="TimesET"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C36120" w:rsidRPr="00110BD4" w:rsidTr="007B5F1E">
        <w:trPr>
          <w:trHeight w:val="580"/>
        </w:trPr>
        <w:tc>
          <w:tcPr>
            <w:tcW w:w="1985" w:type="dxa"/>
            <w:shd w:val="clear" w:color="auto" w:fill="auto"/>
          </w:tcPr>
          <w:p w:rsidR="00C36120" w:rsidRPr="002C0229" w:rsidRDefault="00C36120" w:rsidP="00C3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C36120" w:rsidRDefault="00C36120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92" w:type="dxa"/>
            <w:shd w:val="clear" w:color="auto" w:fill="auto"/>
          </w:tcPr>
          <w:p w:rsidR="00C36120" w:rsidRDefault="00C36120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76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3612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36120" w:rsidRDefault="00C36120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76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C3612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C36120" w:rsidRDefault="00C36120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8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C3612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6120" w:rsidRPr="002C0229" w:rsidTr="007B5F1E">
        <w:tc>
          <w:tcPr>
            <w:tcW w:w="1985" w:type="dxa"/>
            <w:shd w:val="clear" w:color="auto" w:fill="auto"/>
          </w:tcPr>
          <w:p w:rsidR="00C36120" w:rsidRPr="002C0229" w:rsidRDefault="00C36120" w:rsidP="00C3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36120">
              <w:rPr>
                <w:rFonts w:ascii="Calibri" w:hAnsi="Calibri"/>
                <w:b/>
                <w:color w:val="000000"/>
              </w:rPr>
              <w:t>4453,6</w:t>
            </w:r>
          </w:p>
        </w:tc>
        <w:tc>
          <w:tcPr>
            <w:tcW w:w="992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36120">
              <w:rPr>
                <w:rFonts w:ascii="Calibri" w:hAnsi="Calibri"/>
                <w:b/>
                <w:color w:val="000000"/>
              </w:rPr>
              <w:t>3821,9</w:t>
            </w:r>
          </w:p>
        </w:tc>
        <w:tc>
          <w:tcPr>
            <w:tcW w:w="1276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61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92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36120">
              <w:rPr>
                <w:rFonts w:ascii="Calibri" w:hAnsi="Calibri"/>
                <w:b/>
                <w:color w:val="000000"/>
              </w:rPr>
              <w:t>2633,6</w:t>
            </w:r>
          </w:p>
        </w:tc>
        <w:tc>
          <w:tcPr>
            <w:tcW w:w="1276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TimesET" w:hAnsi="TimesET"/>
                <w:bCs/>
                <w:color w:val="000000"/>
                <w:sz w:val="20"/>
                <w:szCs w:val="20"/>
              </w:rPr>
            </w:pPr>
            <w:r w:rsidRPr="00C36120">
              <w:rPr>
                <w:rFonts w:ascii="TimesET" w:hAnsi="TimesET"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24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36120">
              <w:rPr>
                <w:rFonts w:ascii="Calibri" w:hAnsi="Calibri"/>
                <w:b/>
                <w:color w:val="000000"/>
              </w:rPr>
              <w:t>2795</w:t>
            </w:r>
          </w:p>
        </w:tc>
        <w:tc>
          <w:tcPr>
            <w:tcW w:w="968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TimesET" w:hAnsi="TimesET"/>
                <w:bCs/>
                <w:color w:val="000000"/>
                <w:sz w:val="20"/>
                <w:szCs w:val="20"/>
              </w:rPr>
            </w:pPr>
            <w:r w:rsidRPr="00C36120">
              <w:rPr>
                <w:rFonts w:ascii="TimesET" w:hAnsi="TimesET"/>
                <w:bCs/>
                <w:color w:val="000000"/>
                <w:sz w:val="20"/>
                <w:szCs w:val="20"/>
              </w:rPr>
              <w:t>106,1</w:t>
            </w:r>
          </w:p>
        </w:tc>
      </w:tr>
      <w:tr w:rsidR="00C36120" w:rsidRPr="002C0229" w:rsidTr="007B5F1E">
        <w:trPr>
          <w:trHeight w:val="604"/>
        </w:trPr>
        <w:tc>
          <w:tcPr>
            <w:tcW w:w="1985" w:type="dxa"/>
            <w:shd w:val="clear" w:color="auto" w:fill="auto"/>
          </w:tcPr>
          <w:p w:rsidR="00C36120" w:rsidRPr="002C0229" w:rsidRDefault="00C36120" w:rsidP="00C3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C36120" w:rsidRDefault="00C36120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:rsidR="00C36120" w:rsidRDefault="00C36120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3612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36120" w:rsidRDefault="00C36120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276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C3612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C36120" w:rsidRDefault="00C36120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968" w:type="dxa"/>
            <w:shd w:val="clear" w:color="auto" w:fill="auto"/>
          </w:tcPr>
          <w:p w:rsidR="00C36120" w:rsidRPr="00C36120" w:rsidRDefault="00C36120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C3612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6B5827" w:rsidRDefault="00C641CF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доходов бюджета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величатся 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38,1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на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5,4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и составят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744,8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доля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16,3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6120" w:rsidRDefault="007B5F1E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 поступление собственных доходов увеличится на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58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составит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757,2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 а в 2022 году- на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 сос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767,9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BF3190" w:rsidRDefault="006B5827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 собственных доходов составит  в плановый период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22,3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21,6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 в 2021 и 2022 годах. </w:t>
      </w:r>
    </w:p>
    <w:p w:rsidR="006B5827" w:rsidRPr="003B0526" w:rsidRDefault="006B5827" w:rsidP="006B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таблице.</w:t>
      </w:r>
    </w:p>
    <w:p w:rsidR="006B5827" w:rsidRDefault="006B5827" w:rsidP="006B58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1" w:type="dxa"/>
        <w:tblInd w:w="108" w:type="dxa"/>
        <w:tblLook w:val="01E0"/>
      </w:tblPr>
      <w:tblGrid>
        <w:gridCol w:w="4536"/>
        <w:gridCol w:w="1560"/>
        <w:gridCol w:w="1275"/>
        <w:gridCol w:w="1276"/>
        <w:gridCol w:w="1134"/>
      </w:tblGrid>
      <w:tr w:rsidR="00271D79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Pr="00136055" w:rsidRDefault="00271D79" w:rsidP="003E1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E91122" w:rsidRDefault="00271D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</w:rPr>
              <w:t>2019 год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E91122" w:rsidRDefault="00271D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E91122" w:rsidRDefault="00271D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E91122" w:rsidRDefault="00271D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</w:rPr>
              <w:t>2022 год</w:t>
            </w:r>
          </w:p>
        </w:tc>
      </w:tr>
      <w:tr w:rsidR="00C36120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20" w:rsidRPr="00136055" w:rsidRDefault="00C36120" w:rsidP="00271D79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 xml:space="preserve">Собственные </w:t>
            </w:r>
            <w:proofErr w:type="spellStart"/>
            <w:r w:rsidRPr="00136055">
              <w:rPr>
                <w:sz w:val="24"/>
                <w:szCs w:val="24"/>
              </w:rPr>
              <w:t>доходы,всего</w:t>
            </w:r>
            <w:proofErr w:type="spellEnd"/>
            <w:r w:rsidRPr="00136055">
              <w:rPr>
                <w:sz w:val="24"/>
                <w:szCs w:val="24"/>
              </w:rPr>
              <w:t>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Pr="00E91122" w:rsidRDefault="00C3612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  <w:sz w:val="24"/>
                <w:szCs w:val="24"/>
              </w:rPr>
              <w:t>706,7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Pr="00E91122" w:rsidRDefault="00C3612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  <w:sz w:val="24"/>
                <w:szCs w:val="24"/>
              </w:rPr>
              <w:t>744,8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Pr="00E91122" w:rsidRDefault="00C3612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  <w:sz w:val="24"/>
                <w:szCs w:val="24"/>
              </w:rPr>
              <w:t>757,2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Pr="00E91122" w:rsidRDefault="00C3612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  <w:sz w:val="24"/>
                <w:szCs w:val="24"/>
              </w:rPr>
              <w:t>767,9</w:t>
            </w:r>
          </w:p>
        </w:tc>
      </w:tr>
      <w:tr w:rsidR="00C36120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20" w:rsidRPr="00136055" w:rsidRDefault="00C36120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Default="00C361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Default="00C361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Default="00C361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Default="00C361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36120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20" w:rsidRPr="00136055" w:rsidRDefault="00C36120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Pr="00E91122" w:rsidRDefault="00C36120">
            <w:pPr>
              <w:jc w:val="right"/>
              <w:rPr>
                <w:color w:val="000000"/>
                <w:sz w:val="24"/>
                <w:szCs w:val="24"/>
              </w:rPr>
            </w:pPr>
            <w:r w:rsidRPr="00E91122">
              <w:rPr>
                <w:color w:val="000000"/>
                <w:sz w:val="24"/>
                <w:szCs w:val="24"/>
              </w:rPr>
              <w:t>599,7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Pr="00E91122" w:rsidRDefault="00C36120">
            <w:pPr>
              <w:jc w:val="right"/>
              <w:rPr>
                <w:color w:val="000000"/>
                <w:sz w:val="24"/>
                <w:szCs w:val="24"/>
              </w:rPr>
            </w:pPr>
            <w:r w:rsidRPr="00E91122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Pr="00E91122" w:rsidRDefault="00C36120">
            <w:pPr>
              <w:jc w:val="right"/>
              <w:rPr>
                <w:color w:val="000000"/>
                <w:sz w:val="24"/>
                <w:szCs w:val="24"/>
              </w:rPr>
            </w:pPr>
            <w:r w:rsidRPr="00E91122">
              <w:rPr>
                <w:color w:val="000000"/>
                <w:sz w:val="24"/>
                <w:szCs w:val="24"/>
              </w:rPr>
              <w:t>657,4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Pr="00E91122" w:rsidRDefault="00C36120">
            <w:pPr>
              <w:jc w:val="right"/>
              <w:rPr>
                <w:color w:val="000000"/>
                <w:sz w:val="24"/>
                <w:szCs w:val="24"/>
              </w:rPr>
            </w:pPr>
            <w:r w:rsidRPr="00E91122">
              <w:rPr>
                <w:color w:val="000000"/>
                <w:sz w:val="24"/>
                <w:szCs w:val="24"/>
              </w:rPr>
              <w:t>665,1</w:t>
            </w:r>
          </w:p>
        </w:tc>
      </w:tr>
      <w:tr w:rsidR="00C36120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20" w:rsidRPr="00136055" w:rsidRDefault="00C36120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Default="00C361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Default="00C361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Default="00C361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Default="00C361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86,6</w:t>
            </w:r>
          </w:p>
        </w:tc>
      </w:tr>
      <w:tr w:rsidR="00C36120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20" w:rsidRPr="00136055" w:rsidRDefault="00C36120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Неналоговые доходы,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Pr="00E91122" w:rsidRDefault="00C36120">
            <w:pPr>
              <w:jc w:val="right"/>
              <w:rPr>
                <w:color w:val="000000"/>
                <w:sz w:val="24"/>
                <w:szCs w:val="24"/>
              </w:rPr>
            </w:pPr>
            <w:r w:rsidRPr="00E91122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Pr="00E91122" w:rsidRDefault="00C36120">
            <w:pPr>
              <w:jc w:val="right"/>
              <w:rPr>
                <w:color w:val="000000"/>
                <w:sz w:val="24"/>
                <w:szCs w:val="24"/>
              </w:rPr>
            </w:pPr>
            <w:r w:rsidRPr="00E91122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Pr="00E91122" w:rsidRDefault="00C36120">
            <w:pPr>
              <w:jc w:val="right"/>
              <w:rPr>
                <w:color w:val="000000"/>
                <w:sz w:val="24"/>
                <w:szCs w:val="24"/>
              </w:rPr>
            </w:pPr>
            <w:r w:rsidRPr="00E91122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Pr="00E91122" w:rsidRDefault="00C36120">
            <w:pPr>
              <w:jc w:val="right"/>
              <w:rPr>
                <w:color w:val="000000"/>
                <w:sz w:val="24"/>
                <w:szCs w:val="24"/>
              </w:rPr>
            </w:pPr>
            <w:r w:rsidRPr="00E91122">
              <w:rPr>
                <w:color w:val="000000"/>
                <w:sz w:val="24"/>
                <w:szCs w:val="24"/>
              </w:rPr>
              <w:t>102,6</w:t>
            </w:r>
          </w:p>
        </w:tc>
      </w:tr>
      <w:tr w:rsidR="00C36120" w:rsidRPr="00B20B8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20" w:rsidRPr="00136055" w:rsidRDefault="00C36120" w:rsidP="00271D79">
            <w:pPr>
              <w:jc w:val="both"/>
              <w:rPr>
                <w:sz w:val="24"/>
                <w:szCs w:val="24"/>
              </w:rPr>
            </w:pPr>
            <w:proofErr w:type="spellStart"/>
            <w:r w:rsidRPr="00136055">
              <w:rPr>
                <w:sz w:val="24"/>
                <w:szCs w:val="24"/>
              </w:rPr>
              <w:t>Уд.вес</w:t>
            </w:r>
            <w:proofErr w:type="spellEnd"/>
            <w:r w:rsidRPr="00136055">
              <w:rPr>
                <w:sz w:val="24"/>
                <w:szCs w:val="24"/>
              </w:rPr>
              <w:t xml:space="preserve"> общем объеме собств.доходов(%)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Default="00C361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Default="00C361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Default="00C361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0" w:rsidRDefault="00C361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13,4</w:t>
            </w:r>
          </w:p>
        </w:tc>
      </w:tr>
    </w:tbl>
    <w:p w:rsidR="006B5827" w:rsidRDefault="006B5827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EF" w:rsidRDefault="006A3587" w:rsidP="006F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объеме собственных доходов составляют налоговые доходы, их доля в 2019 году состав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>84,9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плановом 2020 году удельный вес составит 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>87,3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период 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годы -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>86,8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>86,6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соответственно.</w:t>
      </w:r>
      <w:r w:rsidR="006F3CEF" w:rsidRP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CEF" w:rsidRDefault="006F3CEF" w:rsidP="006F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алоговые поступления  на 2020 год планируются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650,0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108,4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предшествующему году. На 2021 и 2022 годы  планируется  незначительное увеличение поступления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F3CEF" w:rsidRDefault="00C55E0A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2019 годом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12,2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составит 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>94,8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2022 год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неналоговых доходов планируется  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незначительным ежегодным  приростом  на 5,0 тыс. руб. - в 2021 году , и на 2,8 тыс. руб. - в 2022 году. </w:t>
      </w:r>
    </w:p>
    <w:p w:rsidR="00BF3190" w:rsidRPr="00865A7D" w:rsidRDefault="00BF3190" w:rsidP="00A6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</w:t>
      </w:r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уровня  запланированного на 2019 год на 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>14,2</w:t>
      </w:r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составит 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>3821,9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снижение поступления на 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>31,1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составит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F9D">
        <w:rPr>
          <w:rFonts w:ascii="Times New Roman" w:eastAsia="Times New Roman" w:hAnsi="Times New Roman" w:cs="Times New Roman"/>
          <w:sz w:val="24"/>
          <w:szCs w:val="24"/>
          <w:lang w:eastAsia="ru-RU"/>
        </w:rPr>
        <w:t>2633,6</w:t>
      </w:r>
      <w:r w:rsid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запланировано  на уровне 1</w:t>
      </w:r>
      <w:r w:rsidR="008F4F9D">
        <w:rPr>
          <w:rFonts w:ascii="Times New Roman" w:eastAsia="Times New Roman" w:hAnsi="Times New Roman" w:cs="Times New Roman"/>
          <w:sz w:val="24"/>
          <w:szCs w:val="24"/>
          <w:lang w:eastAsia="ru-RU"/>
        </w:rPr>
        <w:t>06,1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к предыдущему году, или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F9D">
        <w:rPr>
          <w:rFonts w:ascii="Times New Roman" w:eastAsia="Times New Roman" w:hAnsi="Times New Roman" w:cs="Times New Roman"/>
          <w:sz w:val="24"/>
          <w:szCs w:val="24"/>
          <w:lang w:eastAsia="ru-RU"/>
        </w:rPr>
        <w:t>2795,0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BB2" w:rsidRPr="00843129" w:rsidRDefault="00063062" w:rsidP="001C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29">
        <w:rPr>
          <w:rFonts w:ascii="Times New Roman" w:hAnsi="Times New Roman" w:cs="Times New Roman"/>
          <w:b/>
          <w:sz w:val="24"/>
          <w:szCs w:val="24"/>
        </w:rPr>
        <w:t>Поступление налога на доходы физических лиц</w:t>
      </w:r>
      <w:r w:rsidRPr="00843129">
        <w:rPr>
          <w:rFonts w:ascii="Times New Roman" w:hAnsi="Times New Roman" w:cs="Times New Roman"/>
          <w:sz w:val="24"/>
          <w:szCs w:val="24"/>
        </w:rPr>
        <w:t xml:space="preserve"> на 2020 год  запланировано </w:t>
      </w:r>
      <w:r w:rsidR="00E2634C" w:rsidRPr="00843129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E55E23">
        <w:rPr>
          <w:rFonts w:ascii="Times New Roman" w:hAnsi="Times New Roman" w:cs="Times New Roman"/>
          <w:sz w:val="24"/>
          <w:szCs w:val="24"/>
        </w:rPr>
        <w:t>95,3</w:t>
      </w:r>
      <w:r w:rsidR="001C7BB2" w:rsidRPr="00843129">
        <w:rPr>
          <w:rFonts w:ascii="Times New Roman" w:hAnsi="Times New Roman" w:cs="Times New Roman"/>
          <w:sz w:val="24"/>
          <w:szCs w:val="24"/>
        </w:rPr>
        <w:t>% к уровню у</w:t>
      </w:r>
      <w:r w:rsidR="00E2634C" w:rsidRPr="00843129">
        <w:rPr>
          <w:rFonts w:ascii="Times New Roman" w:hAnsi="Times New Roman" w:cs="Times New Roman"/>
          <w:sz w:val="24"/>
          <w:szCs w:val="24"/>
        </w:rPr>
        <w:t xml:space="preserve">твержденного показателя на 2019 год </w:t>
      </w:r>
      <w:r w:rsidR="001C7BB2" w:rsidRPr="00843129">
        <w:rPr>
          <w:rFonts w:ascii="Times New Roman" w:hAnsi="Times New Roman" w:cs="Times New Roman"/>
          <w:sz w:val="24"/>
          <w:szCs w:val="24"/>
        </w:rPr>
        <w:t xml:space="preserve">, или в сумме </w:t>
      </w:r>
      <w:r w:rsidR="00E55E23">
        <w:rPr>
          <w:rFonts w:ascii="Times New Roman" w:hAnsi="Times New Roman" w:cs="Times New Roman"/>
          <w:sz w:val="24"/>
          <w:szCs w:val="24"/>
        </w:rPr>
        <w:t>62,3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7BB2" w:rsidRPr="00843129">
        <w:rPr>
          <w:rFonts w:ascii="Times New Roman" w:hAnsi="Times New Roman" w:cs="Times New Roman"/>
          <w:sz w:val="24"/>
          <w:szCs w:val="24"/>
        </w:rPr>
        <w:t xml:space="preserve">. Удельный вес налога составит  </w:t>
      </w:r>
      <w:r w:rsidR="00E55E23">
        <w:rPr>
          <w:rFonts w:ascii="Times New Roman" w:hAnsi="Times New Roman" w:cs="Times New Roman"/>
          <w:sz w:val="24"/>
          <w:szCs w:val="24"/>
        </w:rPr>
        <w:t>8,4</w:t>
      </w:r>
      <w:r w:rsidR="001C7BB2" w:rsidRPr="00843129">
        <w:rPr>
          <w:rFonts w:ascii="Times New Roman" w:hAnsi="Times New Roman" w:cs="Times New Roman"/>
          <w:sz w:val="24"/>
          <w:szCs w:val="24"/>
        </w:rPr>
        <w:t xml:space="preserve"> %  суммы предполагаемых собственных доходов.</w:t>
      </w:r>
    </w:p>
    <w:p w:rsidR="001C7BB2" w:rsidRPr="00843129" w:rsidRDefault="001C7BB2" w:rsidP="001C7BB2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3129">
        <w:rPr>
          <w:rFonts w:ascii="Times New Roman" w:hAnsi="Times New Roman" w:cs="Times New Roman"/>
          <w:sz w:val="24"/>
          <w:szCs w:val="24"/>
        </w:rPr>
        <w:t xml:space="preserve">На  2021 год  прогнозируемый  объем поступления составит  </w:t>
      </w:r>
      <w:r w:rsidR="00E55E23">
        <w:rPr>
          <w:rFonts w:ascii="Times New Roman" w:hAnsi="Times New Roman" w:cs="Times New Roman"/>
          <w:sz w:val="24"/>
          <w:szCs w:val="24"/>
        </w:rPr>
        <w:t>64,7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43129">
        <w:rPr>
          <w:rFonts w:ascii="Times New Roman" w:hAnsi="Times New Roman" w:cs="Times New Roman"/>
          <w:sz w:val="24"/>
          <w:szCs w:val="24"/>
        </w:rPr>
        <w:t xml:space="preserve">, на 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2022 год – </w:t>
      </w:r>
      <w:r w:rsidR="00E55E23">
        <w:rPr>
          <w:rFonts w:ascii="Times New Roman" w:hAnsi="Times New Roman" w:cs="Times New Roman"/>
          <w:sz w:val="24"/>
          <w:szCs w:val="24"/>
        </w:rPr>
        <w:t>67,4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063062" w:rsidRDefault="007336DB" w:rsidP="00843129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2020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E53BC5">
        <w:rPr>
          <w:rFonts w:ascii="Times New Roman" w:hAnsi="Times New Roman" w:cs="Times New Roman"/>
          <w:sz w:val="24"/>
          <w:szCs w:val="24"/>
        </w:rPr>
        <w:t xml:space="preserve"> в ростом к плану 2019 года на </w:t>
      </w:r>
      <w:r w:rsidR="00E55E23">
        <w:rPr>
          <w:rFonts w:ascii="Times New Roman" w:hAnsi="Times New Roman" w:cs="Times New Roman"/>
          <w:sz w:val="24"/>
          <w:szCs w:val="24"/>
        </w:rPr>
        <w:t>16,5</w:t>
      </w:r>
      <w:r w:rsidR="00E53BC5">
        <w:rPr>
          <w:rFonts w:ascii="Times New Roman" w:hAnsi="Times New Roman" w:cs="Times New Roman"/>
          <w:sz w:val="24"/>
          <w:szCs w:val="24"/>
        </w:rPr>
        <w:t xml:space="preserve"> %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55E23">
        <w:rPr>
          <w:rFonts w:ascii="Times New Roman" w:hAnsi="Times New Roman" w:cs="Times New Roman"/>
          <w:sz w:val="24"/>
          <w:szCs w:val="24"/>
        </w:rPr>
        <w:t>299,7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55E23">
        <w:rPr>
          <w:rFonts w:ascii="Times New Roman" w:hAnsi="Times New Roman" w:cs="Times New Roman"/>
          <w:sz w:val="24"/>
          <w:szCs w:val="24"/>
        </w:rPr>
        <w:t>40,2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</w:t>
      </w:r>
      <w:r w:rsidR="009C7D79">
        <w:rPr>
          <w:rFonts w:ascii="Times New Roman" w:hAnsi="Times New Roman" w:cs="Times New Roman"/>
          <w:sz w:val="24"/>
          <w:szCs w:val="24"/>
        </w:rPr>
        <w:t>-2022 год</w:t>
      </w:r>
      <w:r w:rsidR="00E53BC5">
        <w:rPr>
          <w:rFonts w:ascii="Times New Roman" w:hAnsi="Times New Roman" w:cs="Times New Roman"/>
          <w:sz w:val="24"/>
          <w:szCs w:val="24"/>
        </w:rPr>
        <w:t>ы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сумма поступления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9C7D7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55E23">
        <w:rPr>
          <w:rFonts w:ascii="Times New Roman" w:hAnsi="Times New Roman" w:cs="Times New Roman"/>
          <w:sz w:val="24"/>
          <w:szCs w:val="24"/>
        </w:rPr>
        <w:t>299,7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C7D79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BB2" w:rsidRDefault="001C7BB2" w:rsidP="001C7BB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1C7BB2">
        <w:rPr>
          <w:rFonts w:ascii="Times New Roman" w:hAnsi="Times New Roman" w:cs="Times New Roman"/>
          <w:b/>
          <w:sz w:val="24"/>
          <w:szCs w:val="24"/>
        </w:rPr>
        <w:t>единого сельхозналога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 xml:space="preserve">на 2020 год 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</w:t>
      </w:r>
      <w:r>
        <w:rPr>
          <w:rFonts w:ascii="Times New Roman" w:hAnsi="Times New Roman" w:cs="Times New Roman"/>
          <w:sz w:val="24"/>
          <w:szCs w:val="24"/>
        </w:rPr>
        <w:tab/>
        <w:t xml:space="preserve"> период 2021 и 2022 годов планируется </w:t>
      </w:r>
      <w:r w:rsidR="00E55E23">
        <w:rPr>
          <w:rFonts w:ascii="Times New Roman" w:hAnsi="Times New Roman" w:cs="Times New Roman"/>
          <w:sz w:val="24"/>
          <w:szCs w:val="24"/>
        </w:rPr>
        <w:t>вдвое ниже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на 2019 год величины</w:t>
      </w:r>
      <w:r w:rsidR="00E55E23">
        <w:rPr>
          <w:rFonts w:ascii="Times New Roman" w:hAnsi="Times New Roman" w:cs="Times New Roman"/>
          <w:sz w:val="24"/>
          <w:szCs w:val="24"/>
        </w:rPr>
        <w:t>(10,0 тыс. руб.)</w:t>
      </w:r>
      <w:r>
        <w:rPr>
          <w:rFonts w:ascii="Times New Roman" w:hAnsi="Times New Roman" w:cs="Times New Roman"/>
          <w:sz w:val="24"/>
          <w:szCs w:val="24"/>
        </w:rPr>
        <w:t xml:space="preserve"> в сумме по </w:t>
      </w:r>
      <w:r w:rsidR="00E55E23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1C7BB2" w:rsidRDefault="001C7BB2" w:rsidP="001C7BB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063062">
        <w:rPr>
          <w:rFonts w:ascii="Times New Roman" w:hAnsi="Times New Roman" w:cs="Times New Roman"/>
          <w:sz w:val="24"/>
          <w:szCs w:val="24"/>
        </w:rPr>
        <w:t>общей 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 xml:space="preserve">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удельный вес  налога  составит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E55E23">
        <w:rPr>
          <w:rFonts w:ascii="Times New Roman" w:hAnsi="Times New Roman" w:cs="Times New Roman"/>
          <w:sz w:val="24"/>
          <w:szCs w:val="24"/>
        </w:rPr>
        <w:t>0,7</w:t>
      </w:r>
      <w:r w:rsidRPr="0006306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BC5" w:rsidRDefault="001D05CC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E55E23">
        <w:rPr>
          <w:rFonts w:ascii="Times New Roman" w:hAnsi="Times New Roman" w:cs="Times New Roman"/>
          <w:sz w:val="24"/>
          <w:szCs w:val="24"/>
        </w:rPr>
        <w:t>на уровне 112,8 %</w:t>
      </w:r>
      <w:r w:rsidR="0084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55D">
        <w:rPr>
          <w:rFonts w:ascii="Times New Roman" w:hAnsi="Times New Roman" w:cs="Times New Roman"/>
          <w:sz w:val="24"/>
          <w:szCs w:val="24"/>
        </w:rPr>
        <w:t xml:space="preserve"> в </w:t>
      </w:r>
      <w:r w:rsidR="00E55E23">
        <w:rPr>
          <w:rFonts w:ascii="Times New Roman" w:hAnsi="Times New Roman" w:cs="Times New Roman"/>
          <w:sz w:val="24"/>
          <w:szCs w:val="24"/>
        </w:rPr>
        <w:t>утвержденно</w:t>
      </w:r>
      <w:r w:rsidR="00FD023F">
        <w:rPr>
          <w:rFonts w:ascii="Times New Roman" w:hAnsi="Times New Roman" w:cs="Times New Roman"/>
          <w:sz w:val="24"/>
          <w:szCs w:val="24"/>
        </w:rPr>
        <w:t>й сумме</w:t>
      </w:r>
      <w:r w:rsidR="0036455D">
        <w:rPr>
          <w:rFonts w:ascii="Times New Roman" w:hAnsi="Times New Roman" w:cs="Times New Roman"/>
          <w:sz w:val="24"/>
          <w:szCs w:val="24"/>
        </w:rPr>
        <w:t xml:space="preserve"> 2019 года  </w:t>
      </w:r>
      <w:r w:rsidR="00E53BC5">
        <w:rPr>
          <w:rFonts w:ascii="Times New Roman" w:hAnsi="Times New Roman" w:cs="Times New Roman"/>
          <w:sz w:val="24"/>
          <w:szCs w:val="24"/>
        </w:rPr>
        <w:t xml:space="preserve">и </w:t>
      </w:r>
      <w:r w:rsidR="0036455D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FD023F">
        <w:rPr>
          <w:rFonts w:ascii="Times New Roman" w:hAnsi="Times New Roman" w:cs="Times New Roman"/>
          <w:sz w:val="24"/>
          <w:szCs w:val="24"/>
        </w:rPr>
        <w:t>53,0</w:t>
      </w:r>
      <w:r w:rsidR="0036455D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063062">
        <w:rPr>
          <w:rFonts w:ascii="Times New Roman" w:hAnsi="Times New Roman" w:cs="Times New Roman"/>
          <w:sz w:val="24"/>
          <w:szCs w:val="24"/>
        </w:rPr>
        <w:t>общей суммы</w:t>
      </w:r>
      <w:r w:rsidR="00E53BC5"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 xml:space="preserve"> предполагаемых собственных доходов</w:t>
      </w:r>
      <w:r w:rsidR="00E53BC5">
        <w:rPr>
          <w:rFonts w:ascii="Times New Roman" w:hAnsi="Times New Roman" w:cs="Times New Roman"/>
          <w:sz w:val="24"/>
          <w:szCs w:val="24"/>
        </w:rPr>
        <w:t xml:space="preserve"> удельный вес  налога </w:t>
      </w:r>
      <w:r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FD023F">
        <w:rPr>
          <w:rFonts w:ascii="Times New Roman" w:hAnsi="Times New Roman" w:cs="Times New Roman"/>
          <w:sz w:val="24"/>
          <w:szCs w:val="24"/>
        </w:rPr>
        <w:t>7,1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F64" w:rsidRDefault="001D05CC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</w:t>
      </w:r>
      <w:r w:rsidR="00FD023F">
        <w:rPr>
          <w:rFonts w:ascii="Times New Roman" w:hAnsi="Times New Roman" w:cs="Times New Roman"/>
          <w:sz w:val="24"/>
          <w:szCs w:val="24"/>
        </w:rPr>
        <w:t xml:space="preserve">и 2022 год 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поступление планир</w:t>
      </w:r>
      <w:r w:rsidR="00FD023F">
        <w:rPr>
          <w:rFonts w:ascii="Times New Roman" w:hAnsi="Times New Roman" w:cs="Times New Roman"/>
          <w:sz w:val="24"/>
          <w:szCs w:val="24"/>
        </w:rPr>
        <w:t>уется с ежегодным приростом на 2,0 тыс. руб. и составит 55,0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D023F">
        <w:rPr>
          <w:rFonts w:ascii="Times New Roman" w:hAnsi="Times New Roman" w:cs="Times New Roman"/>
          <w:sz w:val="24"/>
          <w:szCs w:val="24"/>
        </w:rPr>
        <w:t xml:space="preserve"> в 2021 г.</w:t>
      </w:r>
      <w:r w:rsidR="00063062" w:rsidRPr="00063062">
        <w:rPr>
          <w:rFonts w:ascii="Times New Roman" w:hAnsi="Times New Roman" w:cs="Times New Roman"/>
          <w:sz w:val="24"/>
          <w:szCs w:val="24"/>
        </w:rPr>
        <w:t>,</w:t>
      </w:r>
      <w:r w:rsidR="00FD023F">
        <w:rPr>
          <w:rFonts w:ascii="Times New Roman" w:hAnsi="Times New Roman" w:cs="Times New Roman"/>
          <w:sz w:val="24"/>
          <w:szCs w:val="24"/>
        </w:rPr>
        <w:t xml:space="preserve"> и 57,0 тыс. руб. - в 2022 году.</w:t>
      </w:r>
      <w:r w:rsidR="00063062" w:rsidRPr="00063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3129" w:rsidRDefault="00843129" w:rsidP="00843129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5CC"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 w:rsidR="001D05CC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 w:rsidR="001D05C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36455D">
        <w:rPr>
          <w:rFonts w:ascii="Times New Roman" w:hAnsi="Times New Roman" w:cs="Times New Roman"/>
          <w:sz w:val="24"/>
          <w:szCs w:val="24"/>
        </w:rPr>
        <w:t xml:space="preserve">  </w:t>
      </w:r>
      <w:r w:rsidRPr="00063062">
        <w:rPr>
          <w:rFonts w:ascii="Times New Roman" w:hAnsi="Times New Roman" w:cs="Times New Roman"/>
          <w:sz w:val="24"/>
          <w:szCs w:val="24"/>
        </w:rPr>
        <w:t xml:space="preserve">на 2020 год 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 планируется </w:t>
      </w:r>
      <w:r w:rsidR="00FD023F">
        <w:rPr>
          <w:rFonts w:ascii="Times New Roman" w:hAnsi="Times New Roman" w:cs="Times New Roman"/>
          <w:sz w:val="24"/>
          <w:szCs w:val="24"/>
        </w:rPr>
        <w:t xml:space="preserve">ниже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 на 2019 год </w:t>
      </w:r>
      <w:r w:rsidR="00FD023F">
        <w:rPr>
          <w:rFonts w:ascii="Times New Roman" w:hAnsi="Times New Roman" w:cs="Times New Roman"/>
          <w:sz w:val="24"/>
          <w:szCs w:val="24"/>
        </w:rPr>
        <w:t xml:space="preserve">суммы (37,0 тыс. </w:t>
      </w:r>
      <w:proofErr w:type="spellStart"/>
      <w:r w:rsidR="00FD023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D023F">
        <w:rPr>
          <w:rFonts w:ascii="Times New Roman" w:hAnsi="Times New Roman" w:cs="Times New Roman"/>
          <w:sz w:val="24"/>
          <w:szCs w:val="24"/>
        </w:rPr>
        <w:t xml:space="preserve">) на 7,0 тыс. </w:t>
      </w:r>
      <w:proofErr w:type="spellStart"/>
      <w:r w:rsidR="00FD023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D023F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в сумме по 10,0 тыс. руб. ежегодно.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Удельный вес налога </w:t>
      </w:r>
      <w:r w:rsidR="00FD023F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FD023F">
        <w:rPr>
          <w:rFonts w:ascii="Times New Roman" w:hAnsi="Times New Roman" w:cs="Times New Roman"/>
          <w:sz w:val="24"/>
          <w:szCs w:val="24"/>
        </w:rPr>
        <w:t>4,0</w:t>
      </w:r>
      <w:r w:rsidR="00F70C08">
        <w:rPr>
          <w:rFonts w:ascii="Times New Roman" w:hAnsi="Times New Roman" w:cs="Times New Roman"/>
          <w:sz w:val="24"/>
          <w:szCs w:val="24"/>
        </w:rPr>
        <w:t xml:space="preserve"> %</w:t>
      </w:r>
      <w:r w:rsidR="00852F64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>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</w:t>
      </w:r>
      <w:r w:rsidR="00F70C08">
        <w:rPr>
          <w:rFonts w:ascii="Times New Roman" w:hAnsi="Times New Roman" w:cs="Times New Roman"/>
          <w:sz w:val="24"/>
          <w:szCs w:val="24"/>
        </w:rPr>
        <w:t xml:space="preserve"> </w:t>
      </w:r>
      <w:r w:rsidR="0085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 ростом к утвержденному показателю </w:t>
      </w:r>
      <w:r w:rsidR="00F70C08">
        <w:rPr>
          <w:rFonts w:ascii="Times New Roman" w:hAnsi="Times New Roman" w:cs="Times New Roman"/>
          <w:sz w:val="24"/>
          <w:szCs w:val="24"/>
        </w:rPr>
        <w:t xml:space="preserve"> 2019 года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D023F">
        <w:rPr>
          <w:rFonts w:ascii="Times New Roman" w:hAnsi="Times New Roman" w:cs="Times New Roman"/>
          <w:sz w:val="24"/>
          <w:szCs w:val="24"/>
        </w:rPr>
        <w:t>183,0</w:t>
      </w:r>
      <w:r>
        <w:rPr>
          <w:rFonts w:ascii="Times New Roman" w:hAnsi="Times New Roman" w:cs="Times New Roman"/>
          <w:sz w:val="24"/>
          <w:szCs w:val="24"/>
        </w:rPr>
        <w:t xml:space="preserve"> тыс. руб.) </w:t>
      </w:r>
      <w:r w:rsidR="00F70C08">
        <w:rPr>
          <w:rFonts w:ascii="Times New Roman" w:hAnsi="Times New Roman" w:cs="Times New Roman"/>
          <w:sz w:val="24"/>
          <w:szCs w:val="24"/>
        </w:rPr>
        <w:t xml:space="preserve">на </w:t>
      </w:r>
      <w:r w:rsidR="00180659">
        <w:rPr>
          <w:rFonts w:ascii="Times New Roman" w:hAnsi="Times New Roman" w:cs="Times New Roman"/>
          <w:sz w:val="24"/>
          <w:szCs w:val="24"/>
        </w:rPr>
        <w:t>1</w:t>
      </w:r>
      <w:r w:rsidR="00FD023F">
        <w:rPr>
          <w:rFonts w:ascii="Times New Roman" w:hAnsi="Times New Roman" w:cs="Times New Roman"/>
          <w:sz w:val="24"/>
          <w:szCs w:val="24"/>
        </w:rPr>
        <w:t>7,</w:t>
      </w:r>
      <w:r w:rsidR="00180659">
        <w:rPr>
          <w:rFonts w:ascii="Times New Roman" w:hAnsi="Times New Roman" w:cs="Times New Roman"/>
          <w:sz w:val="24"/>
          <w:szCs w:val="24"/>
        </w:rPr>
        <w:t>0</w:t>
      </w:r>
      <w:r w:rsidR="00F70C08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D023F">
        <w:rPr>
          <w:rFonts w:ascii="Times New Roman" w:hAnsi="Times New Roman" w:cs="Times New Roman"/>
          <w:sz w:val="24"/>
          <w:szCs w:val="24"/>
        </w:rPr>
        <w:t>9,3</w:t>
      </w:r>
      <w:r>
        <w:rPr>
          <w:rFonts w:ascii="Times New Roman" w:hAnsi="Times New Roman" w:cs="Times New Roman"/>
          <w:sz w:val="24"/>
          <w:szCs w:val="24"/>
        </w:rPr>
        <w:t xml:space="preserve"> % , и составит </w:t>
      </w:r>
      <w:r w:rsidR="00FD023F">
        <w:rPr>
          <w:rFonts w:ascii="Times New Roman" w:hAnsi="Times New Roman" w:cs="Times New Roman"/>
          <w:sz w:val="24"/>
          <w:szCs w:val="24"/>
        </w:rPr>
        <w:t>2</w:t>
      </w:r>
      <w:r w:rsidR="00843129">
        <w:rPr>
          <w:rFonts w:ascii="Times New Roman" w:hAnsi="Times New Roman" w:cs="Times New Roman"/>
          <w:sz w:val="24"/>
          <w:szCs w:val="24"/>
        </w:rPr>
        <w:t>00,0</w:t>
      </w:r>
      <w:r w:rsidR="008C7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852F64" w:rsidRPr="00852F64">
        <w:rPr>
          <w:rFonts w:ascii="Times New Roman" w:hAnsi="Times New Roman" w:cs="Times New Roman"/>
          <w:sz w:val="24"/>
          <w:szCs w:val="24"/>
        </w:rPr>
        <w:t xml:space="preserve"> </w:t>
      </w:r>
      <w:r w:rsidR="00852F64">
        <w:rPr>
          <w:rFonts w:ascii="Times New Roman" w:hAnsi="Times New Roman" w:cs="Times New Roman"/>
          <w:sz w:val="24"/>
          <w:szCs w:val="24"/>
        </w:rPr>
        <w:t xml:space="preserve">На плановый период 2021 и 2022 годы поступление налога планируется </w:t>
      </w:r>
      <w:r w:rsidR="00843129">
        <w:rPr>
          <w:rFonts w:ascii="Times New Roman" w:hAnsi="Times New Roman" w:cs="Times New Roman"/>
          <w:sz w:val="24"/>
          <w:szCs w:val="24"/>
        </w:rPr>
        <w:t xml:space="preserve">с ежегодным приростом  в сумме  </w:t>
      </w:r>
      <w:r w:rsidR="00FD023F">
        <w:rPr>
          <w:rFonts w:ascii="Times New Roman" w:hAnsi="Times New Roman" w:cs="Times New Roman"/>
          <w:sz w:val="24"/>
          <w:szCs w:val="24"/>
        </w:rPr>
        <w:t>3</w:t>
      </w:r>
      <w:r w:rsidR="00843129">
        <w:rPr>
          <w:rFonts w:ascii="Times New Roman" w:hAnsi="Times New Roman" w:cs="Times New Roman"/>
          <w:sz w:val="24"/>
          <w:szCs w:val="24"/>
        </w:rPr>
        <w:t xml:space="preserve">,0 тыс. руб. и составит </w:t>
      </w:r>
      <w:r w:rsidR="00FD023F">
        <w:rPr>
          <w:rFonts w:ascii="Times New Roman" w:hAnsi="Times New Roman" w:cs="Times New Roman"/>
          <w:sz w:val="24"/>
          <w:szCs w:val="24"/>
        </w:rPr>
        <w:t>203</w:t>
      </w:r>
      <w:r w:rsidR="00843129">
        <w:rPr>
          <w:rFonts w:ascii="Times New Roman" w:hAnsi="Times New Roman" w:cs="Times New Roman"/>
          <w:sz w:val="24"/>
          <w:szCs w:val="24"/>
        </w:rPr>
        <w:t>,0</w:t>
      </w:r>
      <w:r w:rsidR="00852F6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43129">
        <w:rPr>
          <w:rFonts w:ascii="Times New Roman" w:hAnsi="Times New Roman" w:cs="Times New Roman"/>
          <w:sz w:val="24"/>
          <w:szCs w:val="24"/>
        </w:rPr>
        <w:t xml:space="preserve"> в 2021 году, и </w:t>
      </w:r>
      <w:r w:rsidR="00FD023F">
        <w:rPr>
          <w:rFonts w:ascii="Times New Roman" w:hAnsi="Times New Roman" w:cs="Times New Roman"/>
          <w:sz w:val="24"/>
          <w:szCs w:val="24"/>
        </w:rPr>
        <w:t>206</w:t>
      </w:r>
      <w:r w:rsidR="00843129">
        <w:rPr>
          <w:rFonts w:ascii="Times New Roman" w:hAnsi="Times New Roman" w:cs="Times New Roman"/>
          <w:sz w:val="24"/>
          <w:szCs w:val="24"/>
        </w:rPr>
        <w:t>,0</w:t>
      </w:r>
      <w:r w:rsidR="00852F6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43129">
        <w:rPr>
          <w:rFonts w:ascii="Times New Roman" w:hAnsi="Times New Roman" w:cs="Times New Roman"/>
          <w:sz w:val="24"/>
          <w:szCs w:val="24"/>
        </w:rPr>
        <w:t>- в 2022 году.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64">
        <w:rPr>
          <w:rFonts w:ascii="Times New Roman" w:hAnsi="Times New Roman" w:cs="Times New Roman"/>
          <w:sz w:val="24"/>
          <w:szCs w:val="24"/>
        </w:rPr>
        <w:t xml:space="preserve"> Удельный вес налога </w:t>
      </w:r>
      <w:r w:rsidR="00852F64" w:rsidRPr="00852F64">
        <w:rPr>
          <w:rFonts w:ascii="Times New Roman" w:hAnsi="Times New Roman" w:cs="Times New Roman"/>
          <w:sz w:val="24"/>
          <w:szCs w:val="24"/>
        </w:rPr>
        <w:t>в 2020 г.</w:t>
      </w:r>
      <w:r w:rsidRPr="00852F64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FD023F">
        <w:rPr>
          <w:rFonts w:ascii="Times New Roman" w:hAnsi="Times New Roman" w:cs="Times New Roman"/>
          <w:sz w:val="24"/>
          <w:szCs w:val="24"/>
        </w:rPr>
        <w:t>26,8</w:t>
      </w:r>
      <w:r w:rsidR="00180659">
        <w:rPr>
          <w:rFonts w:ascii="Times New Roman" w:hAnsi="Times New Roman" w:cs="Times New Roman"/>
          <w:sz w:val="24"/>
          <w:szCs w:val="24"/>
        </w:rPr>
        <w:t xml:space="preserve">% </w:t>
      </w:r>
      <w:r w:rsidR="00063062" w:rsidRPr="00852F64">
        <w:rPr>
          <w:rFonts w:ascii="Times New Roman" w:hAnsi="Times New Roman" w:cs="Times New Roman"/>
          <w:sz w:val="24"/>
          <w:szCs w:val="24"/>
        </w:rPr>
        <w:t>от общей суммы предполагаемых собственных доходов</w:t>
      </w:r>
      <w:r w:rsidRPr="00852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C1E" w:rsidRDefault="00180659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659">
        <w:rPr>
          <w:rFonts w:ascii="Times New Roman" w:hAnsi="Times New Roman" w:cs="Times New Roman"/>
          <w:b/>
          <w:sz w:val="24"/>
          <w:szCs w:val="24"/>
          <w:lang w:eastAsia="ru-RU"/>
        </w:rPr>
        <w:t>Госпошлина</w:t>
      </w:r>
      <w:r w:rsidRPr="00180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023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r w:rsidRPr="00180659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планируется.   </w:t>
      </w:r>
    </w:p>
    <w:p w:rsidR="00671C1E" w:rsidRPr="00C961F6" w:rsidRDefault="00671C1E" w:rsidP="00671C1E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659">
        <w:rPr>
          <w:rFonts w:ascii="Times New Roman" w:hAnsi="Times New Roman" w:cs="Times New Roman"/>
          <w:sz w:val="24"/>
          <w:szCs w:val="24"/>
        </w:rPr>
        <w:t xml:space="preserve">Удельный вес  налоговых доходов в общем объеме собственных доходов  в  2020 году </w:t>
      </w:r>
      <w:r w:rsidRPr="00C961F6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FD023F">
        <w:rPr>
          <w:rFonts w:ascii="Times New Roman" w:hAnsi="Times New Roman" w:cs="Times New Roman"/>
          <w:sz w:val="24"/>
          <w:szCs w:val="24"/>
        </w:rPr>
        <w:t>87,3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C961F6">
        <w:rPr>
          <w:rFonts w:ascii="Times New Roman" w:hAnsi="Times New Roman" w:cs="Times New Roman"/>
          <w:sz w:val="24"/>
          <w:szCs w:val="24"/>
        </w:rPr>
        <w:t xml:space="preserve">, в 2021 году- </w:t>
      </w:r>
      <w:r w:rsidR="00FD023F">
        <w:rPr>
          <w:rFonts w:ascii="Times New Roman" w:hAnsi="Times New Roman" w:cs="Times New Roman"/>
          <w:sz w:val="24"/>
          <w:szCs w:val="24"/>
        </w:rPr>
        <w:t>86,8</w:t>
      </w:r>
      <w:r w:rsidRPr="00C961F6">
        <w:rPr>
          <w:rFonts w:ascii="Times New Roman" w:hAnsi="Times New Roman" w:cs="Times New Roman"/>
          <w:sz w:val="24"/>
          <w:szCs w:val="24"/>
        </w:rPr>
        <w:t xml:space="preserve">%, в 2022 году- </w:t>
      </w:r>
      <w:r w:rsidR="00FD023F">
        <w:rPr>
          <w:rFonts w:ascii="Times New Roman" w:hAnsi="Times New Roman" w:cs="Times New Roman"/>
          <w:sz w:val="24"/>
          <w:szCs w:val="24"/>
        </w:rPr>
        <w:t>86,6</w:t>
      </w:r>
      <w:r w:rsidRPr="00C961F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52F64" w:rsidRPr="000F5B0E" w:rsidRDefault="00BF3190" w:rsidP="00B8581B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6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Неналоговые доходы</w:t>
      </w:r>
      <w:r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 в бюджет  </w:t>
      </w:r>
      <w:r w:rsidR="00BC187E">
        <w:rPr>
          <w:rFonts w:ascii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 w:rsidRPr="00852F64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  год </w:t>
      </w:r>
      <w:r w:rsidR="00FD023F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планируются в сумме </w:t>
      </w:r>
      <w:r w:rsidR="0012301C">
        <w:rPr>
          <w:rFonts w:ascii="Times New Roman" w:hAnsi="Times New Roman" w:cs="Times New Roman"/>
          <w:sz w:val="24"/>
          <w:szCs w:val="24"/>
          <w:lang w:eastAsia="ru-RU"/>
        </w:rPr>
        <w:t xml:space="preserve">94,8 </w:t>
      </w:r>
      <w:proofErr w:type="spellStart"/>
      <w:r w:rsidR="0012301C">
        <w:rPr>
          <w:rFonts w:ascii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12301C">
        <w:rPr>
          <w:rFonts w:ascii="Times New Roman" w:hAnsi="Times New Roman" w:cs="Times New Roman"/>
          <w:sz w:val="24"/>
          <w:szCs w:val="24"/>
          <w:lang w:eastAsia="ru-RU"/>
        </w:rPr>
        <w:t xml:space="preserve">, что на 11,4 % ниже плана 2019 года.  На </w:t>
      </w:r>
      <w:r w:rsidR="00843129">
        <w:rPr>
          <w:rFonts w:ascii="Times New Roman" w:hAnsi="Times New Roman" w:cs="Times New Roman"/>
          <w:sz w:val="24"/>
          <w:szCs w:val="24"/>
          <w:lang w:eastAsia="ru-RU"/>
        </w:rPr>
        <w:t>плановый  2021</w:t>
      </w:r>
      <w:r w:rsidR="0012301C">
        <w:rPr>
          <w:rFonts w:ascii="Times New Roman" w:hAnsi="Times New Roman" w:cs="Times New Roman"/>
          <w:sz w:val="24"/>
          <w:szCs w:val="24"/>
          <w:lang w:eastAsia="ru-RU"/>
        </w:rPr>
        <w:t xml:space="preserve">год </w:t>
      </w:r>
      <w:r w:rsidR="0084312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52F64">
        <w:rPr>
          <w:rFonts w:ascii="Times New Roman" w:hAnsi="Times New Roman" w:cs="Times New Roman"/>
          <w:sz w:val="24"/>
          <w:szCs w:val="24"/>
          <w:lang w:eastAsia="ru-RU"/>
        </w:rPr>
        <w:t>предусмотрен</w:t>
      </w:r>
      <w:r w:rsidR="0012301C">
        <w:rPr>
          <w:rFonts w:ascii="Times New Roman" w:hAnsi="Times New Roman" w:cs="Times New Roman"/>
          <w:sz w:val="24"/>
          <w:szCs w:val="24"/>
          <w:lang w:eastAsia="ru-RU"/>
        </w:rPr>
        <w:t xml:space="preserve">о увеличение поступления на 5,3 % и составит 99,8 тыс. руб., в 2022 году составит  102,6 тыс. руб., или 102,8% </w:t>
      </w:r>
      <w:r w:rsidR="00352690"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F70C08"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утвержденному </w:t>
      </w:r>
      <w:r w:rsidR="006B6F7C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показателю </w:t>
      </w:r>
      <w:r w:rsidR="00352690" w:rsidRPr="000F5B0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2301C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352690" w:rsidRPr="000F5B0E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D0B29" w:rsidRPr="00671C1E" w:rsidRDefault="00BF3190" w:rsidP="006B6F7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B29">
        <w:rPr>
          <w:rFonts w:ascii="Times New Roman" w:hAnsi="Times New Roman" w:cs="Times New Roman"/>
          <w:lang w:eastAsia="ru-RU"/>
        </w:rPr>
        <w:t xml:space="preserve">   </w:t>
      </w:r>
      <w:r w:rsidR="00352690" w:rsidRPr="008D0B29">
        <w:rPr>
          <w:rFonts w:ascii="Times New Roman" w:hAnsi="Times New Roman" w:cs="Times New Roman"/>
        </w:rPr>
        <w:t xml:space="preserve">В составе неналоговых доходов </w:t>
      </w:r>
      <w:r w:rsidR="00BC187E">
        <w:rPr>
          <w:rFonts w:ascii="Times New Roman" w:hAnsi="Times New Roman" w:cs="Times New Roman"/>
        </w:rPr>
        <w:t>Малокармалинского</w:t>
      </w:r>
      <w:r w:rsidR="00352690" w:rsidRPr="008D0B29">
        <w:rPr>
          <w:rFonts w:ascii="Times New Roman" w:hAnsi="Times New Roman" w:cs="Times New Roman"/>
        </w:rPr>
        <w:t xml:space="preserve"> сельского поселения на 2020 год и на </w:t>
      </w:r>
      <w:r w:rsidR="00352690" w:rsidRPr="00671C1E">
        <w:rPr>
          <w:rFonts w:ascii="Times New Roman" w:hAnsi="Times New Roman" w:cs="Times New Roman"/>
        </w:rPr>
        <w:t xml:space="preserve">плановый  </w:t>
      </w:r>
      <w:r w:rsidR="00352690" w:rsidRPr="00671C1E">
        <w:rPr>
          <w:rFonts w:ascii="Times New Roman" w:hAnsi="Times New Roman" w:cs="Times New Roman"/>
          <w:sz w:val="24"/>
          <w:szCs w:val="24"/>
        </w:rPr>
        <w:t>период 2021 и 2022 годов планируются:</w:t>
      </w:r>
      <w:r w:rsidR="008D0B29" w:rsidRPr="00671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1C" w:rsidRDefault="006B6F7C" w:rsidP="006B6F7C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1C1E">
        <w:rPr>
          <w:rFonts w:ascii="Times New Roman" w:hAnsi="Times New Roman" w:cs="Times New Roman"/>
          <w:sz w:val="24"/>
          <w:szCs w:val="24"/>
        </w:rPr>
        <w:t xml:space="preserve">- </w:t>
      </w:r>
      <w:r w:rsidRPr="00671C1E">
        <w:rPr>
          <w:rFonts w:ascii="Times New Roman" w:hAnsi="Times New Roman" w:cs="Times New Roman"/>
          <w:b/>
          <w:sz w:val="24"/>
          <w:szCs w:val="24"/>
        </w:rPr>
        <w:t>доходы, получаемые в виде арендной платы за земельные участки,</w:t>
      </w:r>
      <w:r w:rsidRPr="00671C1E">
        <w:rPr>
          <w:rFonts w:ascii="Times New Roman" w:hAnsi="Times New Roman" w:cs="Times New Roman"/>
          <w:sz w:val="24"/>
          <w:szCs w:val="24"/>
        </w:rPr>
        <w:t xml:space="preserve"> </w:t>
      </w:r>
      <w:r w:rsidRPr="00671C1E">
        <w:rPr>
          <w:rFonts w:ascii="Times New Roman" w:hAnsi="Times New Roman" w:cs="Times New Roman"/>
          <w:b/>
          <w:sz w:val="24"/>
          <w:szCs w:val="24"/>
        </w:rPr>
        <w:t xml:space="preserve">находящиеся в собственности поселений, на 2020 год </w:t>
      </w:r>
      <w:r w:rsidRPr="00671C1E">
        <w:rPr>
          <w:rFonts w:ascii="Times New Roman" w:hAnsi="Times New Roman" w:cs="Times New Roman"/>
          <w:sz w:val="24"/>
          <w:szCs w:val="24"/>
        </w:rPr>
        <w:t xml:space="preserve"> в сумме 90,0 тыс. рублей ,или  с </w:t>
      </w:r>
      <w:r w:rsidR="0012301C">
        <w:rPr>
          <w:rFonts w:ascii="Times New Roman" w:hAnsi="Times New Roman" w:cs="Times New Roman"/>
          <w:sz w:val="24"/>
          <w:szCs w:val="24"/>
        </w:rPr>
        <w:t>ростом на 6,8</w:t>
      </w:r>
      <w:r w:rsidRPr="00671C1E">
        <w:rPr>
          <w:rFonts w:ascii="Times New Roman" w:hAnsi="Times New Roman" w:cs="Times New Roman"/>
          <w:sz w:val="24"/>
          <w:szCs w:val="24"/>
        </w:rPr>
        <w:t xml:space="preserve"> %</w:t>
      </w:r>
      <w:r w:rsidR="0012301C">
        <w:rPr>
          <w:rFonts w:ascii="Times New Roman" w:hAnsi="Times New Roman" w:cs="Times New Roman"/>
          <w:sz w:val="24"/>
          <w:szCs w:val="24"/>
        </w:rPr>
        <w:t xml:space="preserve"> </w:t>
      </w:r>
      <w:r w:rsidR="00D00ACF" w:rsidRPr="00671C1E">
        <w:rPr>
          <w:rFonts w:ascii="Times New Roman" w:hAnsi="Times New Roman" w:cs="Times New Roman"/>
          <w:sz w:val="24"/>
          <w:szCs w:val="24"/>
        </w:rPr>
        <w:t>к</w:t>
      </w:r>
      <w:r w:rsidRPr="00671C1E">
        <w:rPr>
          <w:rFonts w:ascii="Times New Roman" w:hAnsi="Times New Roman" w:cs="Times New Roman"/>
          <w:sz w:val="24"/>
          <w:szCs w:val="24"/>
        </w:rPr>
        <w:t xml:space="preserve"> запланированному  2019 год. На 2021 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и 2022 годы планируется </w:t>
      </w:r>
      <w:r w:rsidR="0012301C">
        <w:rPr>
          <w:rFonts w:ascii="Times New Roman" w:hAnsi="Times New Roman" w:cs="Times New Roman"/>
          <w:sz w:val="24"/>
          <w:szCs w:val="24"/>
        </w:rPr>
        <w:t>увеличение поступления на 5,6 %  и 3,2 %  соответственно.</w:t>
      </w:r>
    </w:p>
    <w:p w:rsidR="00D00ACF" w:rsidRPr="00671C1E" w:rsidRDefault="0012301C" w:rsidP="006B6F7C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1C1E">
        <w:rPr>
          <w:rFonts w:ascii="Times New Roman" w:hAnsi="Times New Roman" w:cs="Times New Roman"/>
          <w:sz w:val="24"/>
          <w:szCs w:val="24"/>
        </w:rPr>
        <w:t xml:space="preserve"> 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Удельный вес дохода в 2020 году составит </w:t>
      </w:r>
      <w:r>
        <w:rPr>
          <w:rFonts w:ascii="Times New Roman" w:hAnsi="Times New Roman" w:cs="Times New Roman"/>
          <w:sz w:val="24"/>
          <w:szCs w:val="24"/>
        </w:rPr>
        <w:t>12,1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 % от суммы предполагаемых собственных доходов. </w:t>
      </w:r>
    </w:p>
    <w:p w:rsidR="00D00ACF" w:rsidRPr="00671C1E" w:rsidRDefault="006B6F7C" w:rsidP="006B6F7C">
      <w:pPr>
        <w:pBdr>
          <w:bottom w:val="single" w:sz="12" w:space="2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671C1E">
        <w:rPr>
          <w:rFonts w:ascii="Times New Roman" w:hAnsi="Times New Roman" w:cs="Times New Roman"/>
          <w:sz w:val="24"/>
          <w:szCs w:val="24"/>
        </w:rPr>
        <w:t xml:space="preserve">- </w:t>
      </w:r>
      <w:r w:rsidRPr="00671C1E">
        <w:rPr>
          <w:rFonts w:ascii="Times New Roman" w:hAnsi="Times New Roman" w:cs="Times New Roman"/>
          <w:b/>
          <w:sz w:val="24"/>
          <w:szCs w:val="24"/>
        </w:rPr>
        <w:t>доходы от сдачи в аренду имущества, находящегося в оперативном управлении органов управления поселений</w:t>
      </w:r>
      <w:r w:rsidRPr="00671C1E">
        <w:rPr>
          <w:rFonts w:ascii="Times New Roman" w:hAnsi="Times New Roman" w:cs="Times New Roman"/>
          <w:sz w:val="24"/>
          <w:szCs w:val="24"/>
        </w:rPr>
        <w:t xml:space="preserve">  на 2020 год 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 планируется на уровне  утвержденного , равно  ожидаемо</w:t>
      </w:r>
      <w:r w:rsidR="00703C60" w:rsidRPr="00671C1E">
        <w:rPr>
          <w:rFonts w:ascii="Times New Roman" w:hAnsi="Times New Roman" w:cs="Times New Roman"/>
          <w:sz w:val="24"/>
          <w:szCs w:val="24"/>
        </w:rPr>
        <w:t>го,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  поступлени</w:t>
      </w:r>
      <w:r w:rsidR="00703C60" w:rsidRPr="00671C1E">
        <w:rPr>
          <w:rFonts w:ascii="Times New Roman" w:hAnsi="Times New Roman" w:cs="Times New Roman"/>
          <w:sz w:val="24"/>
          <w:szCs w:val="24"/>
        </w:rPr>
        <w:t>я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 за  2019 год  в </w:t>
      </w:r>
      <w:r w:rsidRPr="00671C1E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 по </w:t>
      </w:r>
      <w:r w:rsidR="0012301C">
        <w:rPr>
          <w:rFonts w:ascii="Times New Roman" w:hAnsi="Times New Roman" w:cs="Times New Roman"/>
          <w:sz w:val="24"/>
          <w:szCs w:val="24"/>
        </w:rPr>
        <w:t>4,8</w:t>
      </w:r>
      <w:r w:rsidRPr="00671C1E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 ежегодно. </w:t>
      </w:r>
    </w:p>
    <w:p w:rsidR="00D00ACF" w:rsidRPr="00671C1E" w:rsidRDefault="00D00ACF" w:rsidP="00671C1E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1C1E">
        <w:rPr>
          <w:rFonts w:ascii="Times New Roman" w:hAnsi="Times New Roman" w:cs="Times New Roman"/>
          <w:sz w:val="24"/>
          <w:szCs w:val="24"/>
        </w:rPr>
        <w:t xml:space="preserve">Удельный вес дохода в 2020 году составит </w:t>
      </w:r>
      <w:r w:rsidR="0012301C">
        <w:rPr>
          <w:rFonts w:ascii="Times New Roman" w:hAnsi="Times New Roman" w:cs="Times New Roman"/>
          <w:sz w:val="24"/>
          <w:szCs w:val="24"/>
        </w:rPr>
        <w:t>0,6</w:t>
      </w:r>
      <w:r w:rsidRPr="00671C1E">
        <w:rPr>
          <w:rFonts w:ascii="Times New Roman" w:hAnsi="Times New Roman" w:cs="Times New Roman"/>
          <w:sz w:val="24"/>
          <w:szCs w:val="24"/>
        </w:rPr>
        <w:t xml:space="preserve"> % от суммы предполагаемых собственных доходов.</w:t>
      </w:r>
    </w:p>
    <w:p w:rsidR="00671C1E" w:rsidRPr="00671C1E" w:rsidRDefault="00180659" w:rsidP="00671C1E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1E">
        <w:rPr>
          <w:rFonts w:ascii="Times New Roman" w:hAnsi="Times New Roman" w:cs="Times New Roman"/>
          <w:sz w:val="24"/>
          <w:szCs w:val="24"/>
        </w:rPr>
        <w:t xml:space="preserve">Удельный вес  неналоговых доходов в общем объеме собственных доходов  в  2020 году составит </w:t>
      </w:r>
      <w:r w:rsidR="00BB5E5C">
        <w:rPr>
          <w:rFonts w:ascii="Times New Roman" w:hAnsi="Times New Roman" w:cs="Times New Roman"/>
          <w:sz w:val="24"/>
          <w:szCs w:val="24"/>
        </w:rPr>
        <w:t>12,7</w:t>
      </w:r>
      <w:r w:rsidRPr="00671C1E">
        <w:rPr>
          <w:rFonts w:ascii="Times New Roman" w:hAnsi="Times New Roman" w:cs="Times New Roman"/>
          <w:sz w:val="24"/>
          <w:szCs w:val="24"/>
        </w:rPr>
        <w:t xml:space="preserve"> %, в 2021 году- </w:t>
      </w:r>
      <w:r w:rsidR="00BB5E5C">
        <w:rPr>
          <w:rFonts w:ascii="Times New Roman" w:hAnsi="Times New Roman" w:cs="Times New Roman"/>
          <w:sz w:val="24"/>
          <w:szCs w:val="24"/>
        </w:rPr>
        <w:t>13,2</w:t>
      </w:r>
      <w:r w:rsidRPr="00671C1E">
        <w:rPr>
          <w:rFonts w:ascii="Times New Roman" w:hAnsi="Times New Roman" w:cs="Times New Roman"/>
          <w:sz w:val="24"/>
          <w:szCs w:val="24"/>
        </w:rPr>
        <w:t xml:space="preserve">%, в 2022 году- </w:t>
      </w:r>
      <w:r w:rsidR="00BB5E5C">
        <w:rPr>
          <w:rFonts w:ascii="Times New Roman" w:hAnsi="Times New Roman" w:cs="Times New Roman"/>
          <w:sz w:val="24"/>
          <w:szCs w:val="24"/>
        </w:rPr>
        <w:t>13,4</w:t>
      </w:r>
      <w:r w:rsidRPr="00671C1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80659" w:rsidRPr="00C961F6" w:rsidRDefault="00180659" w:rsidP="003A7B8B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1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1F6">
        <w:rPr>
          <w:rFonts w:ascii="Times New Roman" w:eastAsia="Calibri" w:hAnsi="Times New Roman" w:cs="Times New Roman"/>
          <w:b/>
          <w:sz w:val="24"/>
          <w:szCs w:val="24"/>
        </w:rPr>
        <w:t xml:space="preserve">Безвозмездные поступления </w:t>
      </w:r>
      <w:r w:rsidRPr="00C961F6">
        <w:rPr>
          <w:rFonts w:ascii="Times New Roman" w:eastAsia="Calibri" w:hAnsi="Times New Roman" w:cs="Times New Roman"/>
          <w:sz w:val="24"/>
          <w:szCs w:val="24"/>
        </w:rPr>
        <w:t>из бюджета Ибресинского района  на  2020 год прогнозируются в сумме</w:t>
      </w:r>
      <w:r w:rsidR="00671C1E">
        <w:rPr>
          <w:rFonts w:ascii="Times New Roman" w:eastAsia="Calibri" w:hAnsi="Times New Roman" w:cs="Times New Roman"/>
          <w:sz w:val="24"/>
          <w:szCs w:val="24"/>
        </w:rPr>
        <w:t>1958,0</w:t>
      </w:r>
      <w:r w:rsidRPr="00C961F6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C961F6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671C1E">
        <w:rPr>
          <w:rFonts w:ascii="Times New Roman" w:hAnsi="Times New Roman" w:cs="Times New Roman"/>
          <w:sz w:val="24"/>
          <w:szCs w:val="24"/>
        </w:rPr>
        <w:t>30,7</w:t>
      </w:r>
      <w:r w:rsidRPr="00C961F6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C961F6">
        <w:rPr>
          <w:rFonts w:ascii="Times New Roman" w:hAnsi="Times New Roman" w:cs="Times New Roman"/>
          <w:sz w:val="24"/>
          <w:szCs w:val="24"/>
        </w:rPr>
        <w:t xml:space="preserve">%  ниже запланированного уровня 2019 года. На  2021 год планируется  </w:t>
      </w:r>
      <w:r w:rsidRPr="00C961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C1E">
        <w:rPr>
          <w:rFonts w:ascii="Times New Roman" w:eastAsia="Calibri" w:hAnsi="Times New Roman" w:cs="Times New Roman"/>
          <w:sz w:val="24"/>
          <w:szCs w:val="24"/>
        </w:rPr>
        <w:t>1517,6</w:t>
      </w:r>
      <w:r w:rsidRPr="00C961F6">
        <w:rPr>
          <w:rFonts w:ascii="Times New Roman" w:eastAsia="Calibri" w:hAnsi="Times New Roman" w:cs="Times New Roman"/>
          <w:sz w:val="24"/>
          <w:szCs w:val="24"/>
        </w:rPr>
        <w:t xml:space="preserve"> тыс. рублей, на 2022 год – </w:t>
      </w:r>
      <w:r w:rsidR="00BB74EF">
        <w:rPr>
          <w:rFonts w:ascii="Times New Roman" w:eastAsia="Calibri" w:hAnsi="Times New Roman" w:cs="Times New Roman"/>
          <w:sz w:val="24"/>
          <w:szCs w:val="24"/>
        </w:rPr>
        <w:t>1720,8</w:t>
      </w:r>
      <w:r w:rsidRPr="00C961F6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3A7B8B" w:rsidRDefault="008D0B29" w:rsidP="003A7B8B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6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C961F6">
        <w:rPr>
          <w:rFonts w:ascii="Times New Roman" w:hAnsi="Times New Roman" w:cs="Times New Roman"/>
          <w:sz w:val="24"/>
          <w:szCs w:val="24"/>
          <w:u w:val="single"/>
        </w:rPr>
        <w:t>безвозмездных поступлений</w:t>
      </w:r>
      <w:r w:rsidRPr="00C961F6">
        <w:rPr>
          <w:rFonts w:ascii="Times New Roman" w:hAnsi="Times New Roman" w:cs="Times New Roman"/>
          <w:sz w:val="24"/>
          <w:szCs w:val="24"/>
        </w:rPr>
        <w:t xml:space="preserve"> планируются: </w:t>
      </w:r>
    </w:p>
    <w:p w:rsidR="00BB74EF" w:rsidRPr="00BB74EF" w:rsidRDefault="00BB74EF" w:rsidP="00BB74EF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74EF">
        <w:rPr>
          <w:rFonts w:ascii="Times New Roman" w:hAnsi="Times New Roman" w:cs="Times New Roman"/>
          <w:sz w:val="24"/>
          <w:szCs w:val="24"/>
        </w:rPr>
        <w:t xml:space="preserve">- </w:t>
      </w:r>
      <w:r w:rsidRPr="00BB74EF">
        <w:rPr>
          <w:rFonts w:ascii="Times New Roman" w:hAnsi="Times New Roman" w:cs="Times New Roman"/>
          <w:b/>
          <w:sz w:val="24"/>
          <w:szCs w:val="24"/>
        </w:rPr>
        <w:t>дотации на выравнивание бюджетной обеспеченности</w:t>
      </w:r>
      <w:r w:rsidRPr="00BB74EF">
        <w:rPr>
          <w:rFonts w:ascii="Times New Roman" w:hAnsi="Times New Roman" w:cs="Times New Roman"/>
          <w:sz w:val="24"/>
          <w:szCs w:val="24"/>
        </w:rPr>
        <w:t xml:space="preserve">  на 2020 год в сумме   </w:t>
      </w:r>
      <w:r w:rsidR="00BB5E5C">
        <w:rPr>
          <w:rFonts w:ascii="Times New Roman" w:hAnsi="Times New Roman" w:cs="Times New Roman"/>
          <w:sz w:val="24"/>
          <w:szCs w:val="24"/>
        </w:rPr>
        <w:t>2296,0</w:t>
      </w:r>
      <w:r w:rsidRPr="00BB74E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B5E5C">
        <w:rPr>
          <w:rFonts w:ascii="Times New Roman" w:hAnsi="Times New Roman" w:cs="Times New Roman"/>
          <w:sz w:val="24"/>
          <w:szCs w:val="24"/>
        </w:rPr>
        <w:t>,</w:t>
      </w:r>
      <w:r w:rsidRPr="00BB74EF">
        <w:rPr>
          <w:rFonts w:ascii="Times New Roman" w:hAnsi="Times New Roman" w:cs="Times New Roman"/>
          <w:sz w:val="24"/>
          <w:szCs w:val="24"/>
        </w:rPr>
        <w:t xml:space="preserve"> или </w:t>
      </w:r>
      <w:r w:rsidR="00BB5E5C">
        <w:rPr>
          <w:rFonts w:ascii="Times New Roman" w:hAnsi="Times New Roman" w:cs="Times New Roman"/>
          <w:sz w:val="24"/>
          <w:szCs w:val="24"/>
        </w:rPr>
        <w:t>60,0</w:t>
      </w:r>
      <w:r w:rsidRPr="00BB74EF">
        <w:rPr>
          <w:rFonts w:ascii="Times New Roman" w:hAnsi="Times New Roman" w:cs="Times New Roman"/>
          <w:sz w:val="24"/>
          <w:szCs w:val="24"/>
        </w:rPr>
        <w:t xml:space="preserve">% от общей суммы предполагаемых безвозмездных поступлений, на 2021 год – </w:t>
      </w:r>
      <w:r w:rsidR="00BB5E5C">
        <w:rPr>
          <w:rFonts w:ascii="Times New Roman" w:hAnsi="Times New Roman" w:cs="Times New Roman"/>
          <w:sz w:val="24"/>
          <w:szCs w:val="24"/>
        </w:rPr>
        <w:t>2108,0</w:t>
      </w:r>
      <w:r w:rsidRPr="00BB74EF">
        <w:rPr>
          <w:rFonts w:ascii="Times New Roman" w:hAnsi="Times New Roman" w:cs="Times New Roman"/>
          <w:sz w:val="24"/>
          <w:szCs w:val="24"/>
        </w:rPr>
        <w:t xml:space="preserve"> тыс. рублей, на 2022 год- </w:t>
      </w:r>
      <w:r w:rsidR="00BB5E5C">
        <w:rPr>
          <w:rFonts w:ascii="Times New Roman" w:hAnsi="Times New Roman" w:cs="Times New Roman"/>
          <w:sz w:val="24"/>
          <w:szCs w:val="24"/>
        </w:rPr>
        <w:t>2064</w:t>
      </w:r>
      <w:r w:rsidRPr="00BB74EF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BB74EF" w:rsidRPr="00BB74EF" w:rsidRDefault="00BB74EF" w:rsidP="00BB74EF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74EF">
        <w:rPr>
          <w:rFonts w:ascii="Times New Roman" w:hAnsi="Times New Roman" w:cs="Times New Roman"/>
          <w:sz w:val="24"/>
          <w:szCs w:val="24"/>
        </w:rPr>
        <w:t xml:space="preserve">- </w:t>
      </w:r>
      <w:r w:rsidRPr="00BB74EF">
        <w:rPr>
          <w:rFonts w:ascii="Times New Roman" w:hAnsi="Times New Roman" w:cs="Times New Roman"/>
          <w:b/>
          <w:sz w:val="24"/>
          <w:szCs w:val="24"/>
        </w:rPr>
        <w:t>субсидии бюджетам поселений</w:t>
      </w:r>
      <w:r w:rsidRPr="00BB74EF">
        <w:rPr>
          <w:rFonts w:ascii="Times New Roman" w:hAnsi="Times New Roman" w:cs="Times New Roman"/>
          <w:sz w:val="24"/>
          <w:szCs w:val="24"/>
        </w:rPr>
        <w:t xml:space="preserve">  на 2020 год в сумме </w:t>
      </w:r>
      <w:r w:rsidR="00BB5E5C">
        <w:rPr>
          <w:rFonts w:ascii="Times New Roman" w:hAnsi="Times New Roman" w:cs="Times New Roman"/>
          <w:sz w:val="24"/>
          <w:szCs w:val="24"/>
        </w:rPr>
        <w:t>1436,6</w:t>
      </w:r>
      <w:r w:rsidRPr="00BB74E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B5E5C">
        <w:rPr>
          <w:rFonts w:ascii="Times New Roman" w:hAnsi="Times New Roman" w:cs="Times New Roman"/>
          <w:sz w:val="24"/>
          <w:szCs w:val="24"/>
        </w:rPr>
        <w:t>,</w:t>
      </w:r>
      <w:r w:rsidRPr="00BB74EF">
        <w:rPr>
          <w:rFonts w:ascii="Times New Roman" w:hAnsi="Times New Roman" w:cs="Times New Roman"/>
          <w:sz w:val="24"/>
          <w:szCs w:val="24"/>
        </w:rPr>
        <w:t xml:space="preserve"> или </w:t>
      </w:r>
      <w:r w:rsidR="00BB5E5C">
        <w:rPr>
          <w:rFonts w:ascii="Times New Roman" w:hAnsi="Times New Roman" w:cs="Times New Roman"/>
          <w:sz w:val="24"/>
          <w:szCs w:val="24"/>
        </w:rPr>
        <w:t>37,6</w:t>
      </w:r>
      <w:r w:rsidRPr="00BB74EF">
        <w:rPr>
          <w:rFonts w:ascii="Times New Roman" w:hAnsi="Times New Roman" w:cs="Times New Roman"/>
          <w:sz w:val="24"/>
          <w:szCs w:val="24"/>
        </w:rPr>
        <w:t xml:space="preserve">% от общей суммы предполагаемых безвозмездных поступлений, на 2021 год- </w:t>
      </w:r>
      <w:r w:rsidR="00BB5E5C">
        <w:rPr>
          <w:rFonts w:ascii="Times New Roman" w:hAnsi="Times New Roman" w:cs="Times New Roman"/>
          <w:sz w:val="24"/>
          <w:szCs w:val="24"/>
        </w:rPr>
        <w:t>435,5</w:t>
      </w:r>
      <w:r w:rsidRPr="00BB74EF">
        <w:rPr>
          <w:rFonts w:ascii="Times New Roman" w:hAnsi="Times New Roman" w:cs="Times New Roman"/>
          <w:sz w:val="24"/>
          <w:szCs w:val="24"/>
        </w:rPr>
        <w:t xml:space="preserve"> тыс. рублей, на 2022 год – </w:t>
      </w:r>
      <w:r w:rsidR="00BB5E5C">
        <w:rPr>
          <w:rFonts w:ascii="Times New Roman" w:hAnsi="Times New Roman" w:cs="Times New Roman"/>
          <w:sz w:val="24"/>
          <w:szCs w:val="24"/>
        </w:rPr>
        <w:t>637,2</w:t>
      </w:r>
      <w:r w:rsidRPr="00BB74EF">
        <w:rPr>
          <w:rFonts w:ascii="Times New Roman" w:hAnsi="Times New Roman" w:cs="Times New Roman"/>
          <w:sz w:val="24"/>
          <w:szCs w:val="24"/>
        </w:rPr>
        <w:t xml:space="preserve"> тыс. рублей. В составе субсидий прогнозируются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BB5E5C">
        <w:rPr>
          <w:rFonts w:ascii="Times New Roman" w:hAnsi="Times New Roman" w:cs="Times New Roman"/>
          <w:sz w:val="24"/>
          <w:szCs w:val="24"/>
        </w:rPr>
        <w:t>, а также укрепление МТБ учреждений культуры.</w:t>
      </w:r>
      <w:r w:rsidRPr="00BB7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EF" w:rsidRPr="00BB74EF" w:rsidRDefault="00BB74EF" w:rsidP="00BB74EF">
      <w:pPr>
        <w:pBdr>
          <w:bottom w:val="single" w:sz="12" w:space="21" w:color="auto"/>
        </w:pBd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B74EF">
        <w:rPr>
          <w:rFonts w:ascii="Times New Roman" w:hAnsi="Times New Roman" w:cs="Times New Roman"/>
          <w:sz w:val="24"/>
          <w:szCs w:val="24"/>
        </w:rPr>
        <w:t xml:space="preserve">- </w:t>
      </w:r>
      <w:r w:rsidRPr="00BB74EF">
        <w:rPr>
          <w:rFonts w:ascii="Times New Roman" w:hAnsi="Times New Roman" w:cs="Times New Roman"/>
          <w:b/>
          <w:sz w:val="24"/>
          <w:szCs w:val="24"/>
        </w:rPr>
        <w:t>субвенции</w:t>
      </w:r>
      <w:r w:rsidRPr="00BB74EF">
        <w:rPr>
          <w:rFonts w:ascii="Times New Roman" w:hAnsi="Times New Roman" w:cs="Times New Roman"/>
          <w:sz w:val="24"/>
          <w:szCs w:val="24"/>
        </w:rPr>
        <w:t xml:space="preserve">  на 2020 год в сумме 89,3 тыс. рублей или </w:t>
      </w:r>
      <w:r w:rsidR="00BB5E5C">
        <w:rPr>
          <w:rFonts w:ascii="Times New Roman" w:hAnsi="Times New Roman" w:cs="Times New Roman"/>
          <w:sz w:val="24"/>
          <w:szCs w:val="24"/>
        </w:rPr>
        <w:t>2,3</w:t>
      </w:r>
      <w:r w:rsidRPr="00BB74EF">
        <w:rPr>
          <w:rFonts w:ascii="Times New Roman" w:hAnsi="Times New Roman" w:cs="Times New Roman"/>
          <w:sz w:val="24"/>
          <w:szCs w:val="24"/>
        </w:rPr>
        <w:t xml:space="preserve"> % от общей суммы предполагаемых безвозмездных поступлений, на 2021 год – 90,1 тыс. рублей, на 2022 год- 93,8 тыс. рублей. В составе субвенций прогнозируются субвенции на осуществление первичного воинского учета на территориях, где отсутствуют военные комиссариаты.</w:t>
      </w:r>
    </w:p>
    <w:p w:rsidR="00180659" w:rsidRPr="00C961F6" w:rsidRDefault="00180659" w:rsidP="00BB74EF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6">
        <w:rPr>
          <w:rFonts w:ascii="Times New Roman" w:hAnsi="Times New Roman" w:cs="Times New Roman"/>
          <w:sz w:val="24"/>
          <w:szCs w:val="24"/>
        </w:rPr>
        <w:t xml:space="preserve">Удельный вес  безвозмездных поступлений  в общем объеме доходов  в  2020 году составит </w:t>
      </w:r>
      <w:r w:rsidR="00BB5E5C">
        <w:rPr>
          <w:rFonts w:ascii="Times New Roman" w:hAnsi="Times New Roman" w:cs="Times New Roman"/>
          <w:sz w:val="24"/>
          <w:szCs w:val="24"/>
        </w:rPr>
        <w:t>83,7</w:t>
      </w:r>
      <w:r w:rsidRPr="00C961F6">
        <w:rPr>
          <w:rFonts w:ascii="Times New Roman" w:hAnsi="Times New Roman" w:cs="Times New Roman"/>
          <w:sz w:val="24"/>
          <w:szCs w:val="24"/>
        </w:rPr>
        <w:t xml:space="preserve"> %, в 2021 году - </w:t>
      </w:r>
      <w:r w:rsidR="00BB5E5C">
        <w:rPr>
          <w:rFonts w:ascii="Times New Roman" w:hAnsi="Times New Roman" w:cs="Times New Roman"/>
          <w:sz w:val="24"/>
          <w:szCs w:val="24"/>
        </w:rPr>
        <w:t>77,7</w:t>
      </w:r>
      <w:r w:rsidRPr="00C961F6">
        <w:rPr>
          <w:rFonts w:ascii="Times New Roman" w:hAnsi="Times New Roman" w:cs="Times New Roman"/>
          <w:sz w:val="24"/>
          <w:szCs w:val="24"/>
        </w:rPr>
        <w:t xml:space="preserve">%, в 2022 году- </w:t>
      </w:r>
      <w:r w:rsidR="00BB5E5C">
        <w:rPr>
          <w:rFonts w:ascii="Times New Roman" w:hAnsi="Times New Roman" w:cs="Times New Roman"/>
          <w:sz w:val="24"/>
          <w:szCs w:val="24"/>
        </w:rPr>
        <w:t>78,4</w:t>
      </w:r>
      <w:r w:rsidRPr="00C961F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32E2D" w:rsidRPr="00C961F6" w:rsidRDefault="00632E2D" w:rsidP="00C961F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632E2D" w:rsidRPr="004D077F" w:rsidRDefault="00BF3190" w:rsidP="00632E2D">
      <w:pPr>
        <w:pBdr>
          <w:bottom w:val="single" w:sz="12" w:space="2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BC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Малокармалинского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71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="007139F1" w:rsidRPr="004D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="0072235B" w:rsidRPr="004D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32E2D" w:rsidRPr="004D077F" w:rsidRDefault="00632E2D" w:rsidP="00632E2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7B4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7E0F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C7E0F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соответствует основным приоритетным направлениям развития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постановлению администрации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634331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7D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4331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B41C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EA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D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65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направлениях бюджетной политики 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направлены на 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стабильного социально-экономического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0902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7B6F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902" w:rsidRDefault="00E07A83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9C0902" w:rsidRDefault="009C0902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расходные обязательства, запланированные в проекте бюджета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9C0902" w:rsidRDefault="0072235B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="00083983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показателями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меньшатся на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>14,1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или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>747,3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составят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>4566,7</w:t>
      </w:r>
      <w:r w:rsidR="006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  На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517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2218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>1175,9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>25,7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составят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>3390,8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9C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предыдущего года на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>172,2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. Сумма расходов прогнозируется в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>3563,0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5B5B25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динамика расходов бюджета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</w:t>
      </w:r>
      <w:r w:rsidRP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данными:</w:t>
      </w:r>
    </w:p>
    <w:tbl>
      <w:tblPr>
        <w:tblStyle w:val="1"/>
        <w:tblW w:w="9781" w:type="dxa"/>
        <w:tblInd w:w="108" w:type="dxa"/>
        <w:tblLayout w:type="fixed"/>
        <w:tblLook w:val="01E0"/>
      </w:tblPr>
      <w:tblGrid>
        <w:gridCol w:w="2127"/>
        <w:gridCol w:w="567"/>
        <w:gridCol w:w="1134"/>
        <w:gridCol w:w="992"/>
        <w:gridCol w:w="1134"/>
        <w:gridCol w:w="992"/>
        <w:gridCol w:w="992"/>
        <w:gridCol w:w="851"/>
        <w:gridCol w:w="992"/>
      </w:tblGrid>
      <w:tr w:rsidR="00510BD8" w:rsidRPr="00A322B9" w:rsidTr="008A219F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2019 год (решение о бюджете), тыс. руб.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Проект бюджета на:</w:t>
            </w:r>
          </w:p>
        </w:tc>
      </w:tr>
      <w:tr w:rsidR="00510BD8" w:rsidRPr="00A322B9" w:rsidTr="008A219F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2022 год</w:t>
            </w:r>
          </w:p>
        </w:tc>
      </w:tr>
      <w:tr w:rsidR="00510BD8" w:rsidRPr="00A322B9" w:rsidTr="008A219F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083983" w:rsidRDefault="008D0B8E" w:rsidP="00852F64">
            <w:pPr>
              <w:jc w:val="both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083983" w:rsidRDefault="008D0B8E" w:rsidP="00852F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D0B8E" w:rsidRPr="00A322B9" w:rsidTr="008A219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083983" w:rsidRDefault="008D0B8E" w:rsidP="00852F64">
            <w:pPr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A322B9" w:rsidRDefault="008D0B8E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A322B9" w:rsidRDefault="008D0B8E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9C0902" w:rsidRDefault="008D0B8E" w:rsidP="00852F64">
            <w:pPr>
              <w:jc w:val="both"/>
              <w:rPr>
                <w:sz w:val="24"/>
                <w:szCs w:val="24"/>
              </w:rPr>
            </w:pPr>
            <w:r w:rsidRPr="009C0902">
              <w:rPr>
                <w:sz w:val="24"/>
                <w:szCs w:val="24"/>
              </w:rPr>
              <w:t xml:space="preserve">Национальная безопасность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9C0902" w:rsidRDefault="008D0B8E" w:rsidP="009C0902">
            <w:pPr>
              <w:jc w:val="right"/>
              <w:rPr>
                <w:sz w:val="24"/>
                <w:szCs w:val="24"/>
              </w:rPr>
            </w:pPr>
            <w:r w:rsidRPr="009C090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A322B9" w:rsidRDefault="008D0B8E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A322B9" w:rsidRDefault="008D0B8E" w:rsidP="0029558F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A322B9" w:rsidRDefault="008D0B8E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3A7B8B" w:rsidRDefault="008D0B8E" w:rsidP="00852F64">
            <w:pPr>
              <w:jc w:val="both"/>
              <w:rPr>
                <w:sz w:val="24"/>
                <w:szCs w:val="24"/>
              </w:rPr>
            </w:pPr>
            <w:r w:rsidRPr="003A7B8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A322B9" w:rsidRDefault="008D0B8E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0B8E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A322B9" w:rsidRDefault="008D0B8E" w:rsidP="0029558F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 xml:space="preserve">Условно </w:t>
            </w:r>
            <w:proofErr w:type="spellStart"/>
            <w:r w:rsidRPr="00A322B9">
              <w:rPr>
                <w:sz w:val="24"/>
                <w:szCs w:val="24"/>
              </w:rPr>
              <w:t>утверж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22B9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A322B9" w:rsidRDefault="008D0B8E" w:rsidP="00852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0B8E" w:rsidRPr="00083983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Pr="00083983" w:rsidRDefault="008D0B8E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E" w:rsidRDefault="008D0B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510BD8" w:rsidRDefault="00510BD8" w:rsidP="00510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426DA9" w:rsidP="00974E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уменьшатся </w:t>
      </w:r>
      <w:r w:rsidR="00BC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2019 году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8,4 тыс. руб.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>1455,6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426DA9" w:rsidP="00974E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по данному разделу на плановый период 2021 и 2021 годы прогнозируются 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BC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1491,9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974E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="00BC5683">
        <w:rPr>
          <w:rFonts w:ascii="Times New Roman" w:eastAsia="Times New Roman" w:hAnsi="Times New Roman" w:cs="Times New Roman"/>
          <w:sz w:val="24"/>
          <w:szCs w:val="24"/>
          <w:lang w:eastAsia="ru-RU"/>
        </w:rPr>
        <w:t>31,9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– 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>44,</w:t>
      </w:r>
      <w:r w:rsidR="00BC56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F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C5683">
        <w:rPr>
          <w:rFonts w:ascii="Times New Roman" w:eastAsia="Times New Roman" w:hAnsi="Times New Roman" w:cs="Times New Roman"/>
          <w:sz w:val="24"/>
          <w:szCs w:val="24"/>
          <w:lang w:eastAsia="ru-RU"/>
        </w:rPr>
        <w:t>41,9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81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13F" w:rsidRDefault="00B72976" w:rsidP="00F72B3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3F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Pr="0030713F">
        <w:rPr>
          <w:rFonts w:ascii="Times New Roman" w:hAnsi="Times New Roman" w:cs="Times New Roman"/>
          <w:b/>
          <w:sz w:val="24"/>
          <w:szCs w:val="24"/>
        </w:rPr>
        <w:t xml:space="preserve"> 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510BD8" w:rsidRPr="0030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 на 2020 год в сумме </w:t>
      </w:r>
      <w:r w:rsidR="00373821">
        <w:rPr>
          <w:rFonts w:ascii="Times New Roman" w:hAnsi="Times New Roman" w:cs="Times New Roman"/>
          <w:sz w:val="24"/>
          <w:szCs w:val="24"/>
        </w:rPr>
        <w:t>1168,4</w:t>
      </w:r>
      <w:r w:rsidR="005312A6">
        <w:rPr>
          <w:rFonts w:ascii="Times New Roman" w:hAnsi="Times New Roman" w:cs="Times New Roman"/>
          <w:sz w:val="24"/>
          <w:szCs w:val="24"/>
        </w:rPr>
        <w:t xml:space="preserve"> </w:t>
      </w:r>
      <w:r w:rsidR="00510BD8" w:rsidRPr="0030713F">
        <w:rPr>
          <w:rFonts w:ascii="Times New Roman" w:hAnsi="Times New Roman" w:cs="Times New Roman"/>
          <w:sz w:val="24"/>
          <w:szCs w:val="24"/>
        </w:rPr>
        <w:t>тыс. рублей</w:t>
      </w:r>
      <w:r w:rsidR="00CF29D8">
        <w:rPr>
          <w:rFonts w:ascii="Times New Roman" w:hAnsi="Times New Roman" w:cs="Times New Roman"/>
          <w:sz w:val="24"/>
          <w:szCs w:val="24"/>
        </w:rPr>
        <w:t>,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  или </w:t>
      </w:r>
      <w:r w:rsidR="00373821">
        <w:rPr>
          <w:rFonts w:ascii="Times New Roman" w:hAnsi="Times New Roman" w:cs="Times New Roman"/>
          <w:sz w:val="24"/>
          <w:szCs w:val="24"/>
        </w:rPr>
        <w:t>99,7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 % от </w:t>
      </w:r>
      <w:r w:rsidR="00F72B31">
        <w:rPr>
          <w:rFonts w:ascii="Times New Roman" w:hAnsi="Times New Roman" w:cs="Times New Roman"/>
          <w:sz w:val="24"/>
          <w:szCs w:val="24"/>
        </w:rPr>
        <w:t xml:space="preserve">утвержденной величины на 2019 год. </w:t>
      </w:r>
      <w:r w:rsidR="00422FF1">
        <w:rPr>
          <w:rFonts w:ascii="Times New Roman" w:hAnsi="Times New Roman" w:cs="Times New Roman"/>
          <w:sz w:val="24"/>
          <w:szCs w:val="24"/>
        </w:rPr>
        <w:t>Расходы  бюджета н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а 2021 год </w:t>
      </w:r>
      <w:r w:rsidR="00422FF1">
        <w:rPr>
          <w:rFonts w:ascii="Times New Roman" w:hAnsi="Times New Roman" w:cs="Times New Roman"/>
          <w:sz w:val="24"/>
          <w:szCs w:val="24"/>
        </w:rPr>
        <w:t xml:space="preserve">прогнозируются в сумме </w:t>
      </w:r>
      <w:r w:rsidR="00373821">
        <w:rPr>
          <w:rFonts w:ascii="Times New Roman" w:hAnsi="Times New Roman" w:cs="Times New Roman"/>
          <w:sz w:val="24"/>
          <w:szCs w:val="24"/>
        </w:rPr>
        <w:t>1197,5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 тыс. </w:t>
      </w:r>
      <w:r w:rsidR="00510BD8" w:rsidRPr="005B5B25">
        <w:rPr>
          <w:rFonts w:ascii="Times New Roman" w:hAnsi="Times New Roman" w:cs="Times New Roman"/>
          <w:sz w:val="24"/>
          <w:szCs w:val="24"/>
        </w:rPr>
        <w:t xml:space="preserve">рублей, на 2022 год – </w:t>
      </w:r>
      <w:r w:rsidR="00373821">
        <w:rPr>
          <w:rFonts w:ascii="Times New Roman" w:hAnsi="Times New Roman" w:cs="Times New Roman"/>
          <w:sz w:val="24"/>
          <w:szCs w:val="24"/>
        </w:rPr>
        <w:t>1197,5</w:t>
      </w:r>
      <w:r w:rsidR="00510BD8" w:rsidRPr="005B5B2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22FF1" w:rsidRDefault="00422FF1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в 2020 году составит  </w:t>
      </w:r>
      <w:r w:rsidR="00373821">
        <w:rPr>
          <w:rFonts w:ascii="Times New Roman" w:hAnsi="Times New Roman" w:cs="Times New Roman"/>
          <w:sz w:val="24"/>
          <w:szCs w:val="24"/>
        </w:rPr>
        <w:t>31,9</w:t>
      </w:r>
      <w:r>
        <w:rPr>
          <w:rFonts w:ascii="Times New Roman" w:hAnsi="Times New Roman" w:cs="Times New Roman"/>
          <w:sz w:val="24"/>
          <w:szCs w:val="24"/>
        </w:rPr>
        <w:t xml:space="preserve"> %  общей суммы прогнозируемых расходов.</w:t>
      </w:r>
    </w:p>
    <w:p w:rsidR="00373821" w:rsidRDefault="00B72976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hAnsi="Times New Roman" w:cs="Times New Roman"/>
          <w:sz w:val="24"/>
          <w:szCs w:val="24"/>
        </w:rPr>
        <w:t xml:space="preserve">Бюджетные ассигнования по подразделу  </w:t>
      </w:r>
      <w:r w:rsidRPr="005B5B25">
        <w:rPr>
          <w:rFonts w:ascii="Times New Roman" w:hAnsi="Times New Roman" w:cs="Times New Roman"/>
          <w:b/>
          <w:sz w:val="24"/>
          <w:szCs w:val="24"/>
        </w:rPr>
        <w:t xml:space="preserve"> «Резервные фонды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 Согласно статье 81 Бюджетного кодекса Российской Федерации </w:t>
      </w:r>
      <w:bookmarkStart w:id="0" w:name="sub_812"/>
      <w:r w:rsidR="0030713F" w:rsidRPr="005B5B25">
        <w:rPr>
          <w:rFonts w:ascii="Times New Roman" w:hAnsi="Times New Roman" w:cs="Times New Roman"/>
          <w:sz w:val="24"/>
          <w:szCs w:val="24"/>
        </w:rPr>
        <w:t>размер резервных фондов местных администраций  не может превышать 3 процента общего объема расходов бюджета.</w:t>
      </w:r>
      <w:bookmarkEnd w:id="0"/>
      <w:r w:rsidR="00422FF1">
        <w:rPr>
          <w:rFonts w:ascii="Times New Roman" w:hAnsi="Times New Roman" w:cs="Times New Roman"/>
          <w:sz w:val="24"/>
          <w:szCs w:val="24"/>
        </w:rPr>
        <w:t xml:space="preserve"> </w:t>
      </w:r>
      <w:r w:rsidR="0030713F" w:rsidRPr="005B5B25">
        <w:rPr>
          <w:rFonts w:ascii="Times New Roman" w:hAnsi="Times New Roman" w:cs="Times New Roman"/>
          <w:sz w:val="24"/>
          <w:szCs w:val="24"/>
        </w:rPr>
        <w:t>В проекте решения на реализацию данной подпрограммы предусмотрены ассигнования на 2020 год</w:t>
      </w:r>
      <w:r w:rsidR="00373821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 в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373821">
        <w:rPr>
          <w:rFonts w:ascii="Times New Roman" w:hAnsi="Times New Roman" w:cs="Times New Roman"/>
          <w:sz w:val="24"/>
          <w:szCs w:val="24"/>
        </w:rPr>
        <w:t>30,0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73821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422FF1" w:rsidRDefault="00373821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hAnsi="Times New Roman" w:cs="Times New Roman"/>
          <w:sz w:val="24"/>
          <w:szCs w:val="24"/>
        </w:rPr>
        <w:t xml:space="preserve"> </w:t>
      </w:r>
      <w:r w:rsidR="00B72976" w:rsidRPr="005B5B25">
        <w:rPr>
          <w:rFonts w:ascii="Times New Roman" w:hAnsi="Times New Roman" w:cs="Times New Roman"/>
          <w:sz w:val="24"/>
          <w:szCs w:val="24"/>
        </w:rPr>
        <w:t xml:space="preserve">Бюджетные ассигнования по подразделу " </w:t>
      </w:r>
      <w:r w:rsidR="00B72976" w:rsidRPr="005312A6">
        <w:rPr>
          <w:rFonts w:ascii="Times New Roman" w:hAnsi="Times New Roman" w:cs="Times New Roman"/>
          <w:b/>
          <w:sz w:val="24"/>
          <w:szCs w:val="24"/>
        </w:rPr>
        <w:t>Другие общегосударственные вопросы</w:t>
      </w:r>
      <w:r w:rsidR="00B72976" w:rsidRPr="005B5B25">
        <w:rPr>
          <w:rFonts w:ascii="Times New Roman" w:hAnsi="Times New Roman" w:cs="Times New Roman"/>
          <w:sz w:val="24"/>
          <w:szCs w:val="24"/>
        </w:rPr>
        <w:t xml:space="preserve">"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предусмотрены на обеспечение реализации муниципальной программы "Развитие потенциала муниципального управления" на содержание административно-хозяйственного персонала на 2020 год в размере </w:t>
      </w:r>
      <w:r>
        <w:rPr>
          <w:rFonts w:ascii="Times New Roman" w:hAnsi="Times New Roman" w:cs="Times New Roman"/>
          <w:sz w:val="24"/>
          <w:szCs w:val="24"/>
        </w:rPr>
        <w:t>253,9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F29D8">
        <w:rPr>
          <w:rFonts w:ascii="Times New Roman" w:hAnsi="Times New Roman" w:cs="Times New Roman"/>
          <w:sz w:val="24"/>
          <w:szCs w:val="24"/>
        </w:rPr>
        <w:t>,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95,0</w:t>
      </w:r>
      <w:r w:rsidR="00422FF1">
        <w:rPr>
          <w:rFonts w:ascii="Times New Roman" w:hAnsi="Times New Roman" w:cs="Times New Roman"/>
          <w:sz w:val="24"/>
          <w:szCs w:val="24"/>
        </w:rPr>
        <w:t xml:space="preserve"> % к 2019 году(</w:t>
      </w:r>
      <w:r>
        <w:rPr>
          <w:rFonts w:ascii="Times New Roman" w:hAnsi="Times New Roman" w:cs="Times New Roman"/>
          <w:sz w:val="24"/>
          <w:szCs w:val="24"/>
        </w:rPr>
        <w:t>267,4</w:t>
      </w:r>
      <w:r w:rsidR="00422FF1">
        <w:rPr>
          <w:rFonts w:ascii="Times New Roman" w:hAnsi="Times New Roman" w:cs="Times New Roman"/>
          <w:sz w:val="24"/>
          <w:szCs w:val="24"/>
        </w:rPr>
        <w:t xml:space="preserve"> тыс. руб.) На 20</w:t>
      </w:r>
      <w:r w:rsidR="00CF29D8">
        <w:rPr>
          <w:rFonts w:ascii="Times New Roman" w:hAnsi="Times New Roman" w:cs="Times New Roman"/>
          <w:sz w:val="24"/>
          <w:szCs w:val="24"/>
        </w:rPr>
        <w:t>21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</w:t>
      </w:r>
      <w:r w:rsidR="00CF29D8">
        <w:rPr>
          <w:rFonts w:ascii="Times New Roman" w:hAnsi="Times New Roman" w:cs="Times New Roman"/>
          <w:sz w:val="24"/>
          <w:szCs w:val="24"/>
        </w:rPr>
        <w:t>год</w:t>
      </w:r>
      <w:r w:rsidR="00422FF1">
        <w:rPr>
          <w:rFonts w:ascii="Times New Roman" w:hAnsi="Times New Roman" w:cs="Times New Roman"/>
          <w:sz w:val="24"/>
          <w:szCs w:val="24"/>
        </w:rPr>
        <w:t xml:space="preserve"> предусматривается к утверждению </w:t>
      </w:r>
      <w:r w:rsidR="00E33C88">
        <w:rPr>
          <w:rFonts w:ascii="Times New Roman" w:hAnsi="Times New Roman" w:cs="Times New Roman"/>
          <w:sz w:val="24"/>
          <w:szCs w:val="24"/>
        </w:rPr>
        <w:t>261,1</w:t>
      </w:r>
      <w:r w:rsidR="00CF29D8">
        <w:rPr>
          <w:rFonts w:ascii="Times New Roman" w:hAnsi="Times New Roman" w:cs="Times New Roman"/>
          <w:sz w:val="24"/>
          <w:szCs w:val="24"/>
        </w:rPr>
        <w:t xml:space="preserve"> тыс. руб., на 2022 год- </w:t>
      </w:r>
      <w:r w:rsidR="00E33C88">
        <w:rPr>
          <w:rFonts w:ascii="Times New Roman" w:hAnsi="Times New Roman" w:cs="Times New Roman"/>
          <w:sz w:val="24"/>
          <w:szCs w:val="24"/>
        </w:rPr>
        <w:t>261,2</w:t>
      </w:r>
      <w:r w:rsidR="00CF29D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22FF1">
        <w:rPr>
          <w:rFonts w:ascii="Times New Roman" w:hAnsi="Times New Roman" w:cs="Times New Roman"/>
          <w:sz w:val="24"/>
          <w:szCs w:val="24"/>
        </w:rPr>
        <w:t>. Н</w:t>
      </w:r>
      <w:r w:rsidR="005312A6">
        <w:rPr>
          <w:rFonts w:ascii="Times New Roman" w:hAnsi="Times New Roman" w:cs="Times New Roman"/>
          <w:sz w:val="24"/>
          <w:szCs w:val="24"/>
        </w:rPr>
        <w:t xml:space="preserve">а выполнение других обязательств на 2020 год </w:t>
      </w:r>
      <w:r w:rsidR="00E33C88">
        <w:rPr>
          <w:rFonts w:ascii="Times New Roman" w:hAnsi="Times New Roman" w:cs="Times New Roman"/>
          <w:sz w:val="24"/>
          <w:szCs w:val="24"/>
        </w:rPr>
        <w:t xml:space="preserve"> и плановый период  2021 и 2022 годов </w:t>
      </w:r>
      <w:r w:rsidR="00422FF1">
        <w:rPr>
          <w:rFonts w:ascii="Times New Roman" w:hAnsi="Times New Roman" w:cs="Times New Roman"/>
          <w:sz w:val="24"/>
          <w:szCs w:val="24"/>
        </w:rPr>
        <w:t xml:space="preserve">предусматривается выделение бюджетных ассигнований </w:t>
      </w:r>
      <w:r w:rsidR="00E33C88">
        <w:rPr>
          <w:rFonts w:ascii="Times New Roman" w:hAnsi="Times New Roman" w:cs="Times New Roman"/>
          <w:sz w:val="24"/>
          <w:szCs w:val="24"/>
        </w:rPr>
        <w:t xml:space="preserve">ежегодно по </w:t>
      </w:r>
      <w:r w:rsidR="005312A6">
        <w:rPr>
          <w:rFonts w:ascii="Times New Roman" w:hAnsi="Times New Roman" w:cs="Times New Roman"/>
          <w:sz w:val="24"/>
          <w:szCs w:val="24"/>
        </w:rPr>
        <w:t xml:space="preserve"> </w:t>
      </w:r>
      <w:r w:rsidR="00E33C88">
        <w:rPr>
          <w:rFonts w:ascii="Times New Roman" w:hAnsi="Times New Roman" w:cs="Times New Roman"/>
          <w:sz w:val="24"/>
          <w:szCs w:val="24"/>
        </w:rPr>
        <w:t xml:space="preserve">3,3 </w:t>
      </w:r>
      <w:r w:rsidR="005312A6">
        <w:rPr>
          <w:rFonts w:ascii="Times New Roman" w:hAnsi="Times New Roman" w:cs="Times New Roman"/>
          <w:sz w:val="24"/>
          <w:szCs w:val="24"/>
        </w:rPr>
        <w:t>тыс. руб.</w:t>
      </w:r>
    </w:p>
    <w:p w:rsidR="00E33C88" w:rsidRDefault="00E33C88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808" w:rsidRDefault="005312A6" w:rsidP="007F080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81A08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190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«Национальная оборона» 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</w:t>
      </w:r>
      <w:r w:rsidR="0066359D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инансами и муниципальным долгом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бюджетные ассигнования  предусмотрены на 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долгом".В проекте решения на реализацию данной подпрограммы предусмотрены ассигнования на осуществление первичного учета на территориях, где отсутствуют военные комиссариаты на 2020 год в сумме </w:t>
      </w:r>
      <w:r w:rsidR="00A439FA">
        <w:rPr>
          <w:rFonts w:ascii="Times New Roman" w:hAnsi="Times New Roman" w:cs="Times New Roman"/>
          <w:sz w:val="24"/>
          <w:szCs w:val="24"/>
        </w:rPr>
        <w:t>89,3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439FA">
        <w:rPr>
          <w:rFonts w:ascii="Times New Roman" w:hAnsi="Times New Roman" w:cs="Times New Roman"/>
          <w:sz w:val="24"/>
          <w:szCs w:val="24"/>
        </w:rPr>
        <w:t xml:space="preserve">,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или </w:t>
      </w:r>
      <w:r w:rsidR="007F0808">
        <w:rPr>
          <w:rFonts w:ascii="Times New Roman" w:hAnsi="Times New Roman" w:cs="Times New Roman"/>
          <w:sz w:val="24"/>
          <w:szCs w:val="24"/>
        </w:rPr>
        <w:t>3,1</w:t>
      </w:r>
      <w:r w:rsidR="0030713F" w:rsidRPr="005B5B25">
        <w:rPr>
          <w:rFonts w:ascii="Times New Roman" w:hAnsi="Times New Roman" w:cs="Times New Roman"/>
          <w:sz w:val="24"/>
          <w:szCs w:val="24"/>
        </w:rPr>
        <w:t>% от общей суммы прогнозируемых расходов, на 2021 год – 90,1 тыс. рублей, на 2022 год – 93,8 тыс. рублей.</w:t>
      </w:r>
    </w:p>
    <w:p w:rsidR="00E33C88" w:rsidRDefault="00BF3190" w:rsidP="007F080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30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году составит</w:t>
      </w:r>
      <w:r w:rsid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2,0</w:t>
      </w:r>
      <w:r w:rsidR="0030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13F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808" w:rsidRDefault="00BF3190" w:rsidP="007F080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бюджетных ассигнований,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 w:rsid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году,</w:t>
      </w:r>
      <w:r w:rsidR="0030713F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>736,3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>74,7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утвержденному плану 2019 года. На 2021 год предусматривается выделение средств в сумме </w:t>
      </w:r>
      <w:r w:rsid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>735,2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99,9 %  и предыдущему году, а на 2022 год -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риростом  на 27,4 % в сумме </w:t>
      </w:r>
      <w:r w:rsid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>936,9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713F" w:rsidRPr="0018122C">
        <w:rPr>
          <w:rFonts w:ascii="Times New Roman" w:hAnsi="Times New Roman" w:cs="Times New Roman"/>
          <w:sz w:val="24"/>
          <w:szCs w:val="24"/>
        </w:rPr>
        <w:t xml:space="preserve"> проекте решения </w:t>
      </w:r>
      <w:r w:rsidR="007F0808">
        <w:rPr>
          <w:rFonts w:ascii="Times New Roman" w:hAnsi="Times New Roman" w:cs="Times New Roman"/>
          <w:sz w:val="24"/>
          <w:szCs w:val="24"/>
        </w:rPr>
        <w:t xml:space="preserve">выделение средств </w:t>
      </w:r>
      <w:r w:rsidR="0030713F" w:rsidRPr="0018122C">
        <w:rPr>
          <w:rFonts w:ascii="Times New Roman" w:hAnsi="Times New Roman" w:cs="Times New Roman"/>
          <w:sz w:val="24"/>
          <w:szCs w:val="24"/>
        </w:rPr>
        <w:t xml:space="preserve">на </w:t>
      </w:r>
      <w:r w:rsidR="0030713F" w:rsidRPr="007F0808">
        <w:rPr>
          <w:rFonts w:ascii="Times New Roman" w:hAnsi="Times New Roman" w:cs="Times New Roman"/>
          <w:sz w:val="24"/>
          <w:szCs w:val="24"/>
        </w:rPr>
        <w:t>реализацию данной подпрограммы предусмотрены на:</w:t>
      </w:r>
    </w:p>
    <w:p w:rsidR="00E33C88" w:rsidRDefault="007F0808" w:rsidP="00E33C8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08">
        <w:rPr>
          <w:rFonts w:ascii="Times New Roman" w:hAnsi="Times New Roman" w:cs="Times New Roman"/>
          <w:sz w:val="24"/>
          <w:szCs w:val="24"/>
        </w:rPr>
        <w:t xml:space="preserve">- капитальный ремонт и ремонт автомобильных дорог общего пользования местного значения в границах населенных пунктов поселений на 2020 год в сумме </w:t>
      </w:r>
      <w:r w:rsidR="00E33C88">
        <w:rPr>
          <w:rFonts w:ascii="Times New Roman" w:hAnsi="Times New Roman" w:cs="Times New Roman"/>
          <w:sz w:val="24"/>
          <w:szCs w:val="24"/>
        </w:rPr>
        <w:t>277,9</w:t>
      </w:r>
      <w:r w:rsidRPr="007F080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33C88">
        <w:rPr>
          <w:rFonts w:ascii="Times New Roman" w:hAnsi="Times New Roman" w:cs="Times New Roman"/>
          <w:sz w:val="24"/>
          <w:szCs w:val="24"/>
        </w:rPr>
        <w:t>6,1</w:t>
      </w:r>
      <w:r w:rsidRPr="007F0808">
        <w:rPr>
          <w:rFonts w:ascii="Times New Roman" w:hAnsi="Times New Roman" w:cs="Times New Roman"/>
          <w:sz w:val="24"/>
          <w:szCs w:val="24"/>
        </w:rPr>
        <w:t xml:space="preserve">% от общей суммы прогнозируемых расходов (из них  за счет средств республиканского бюджета на 2020 год в сумме </w:t>
      </w:r>
      <w:r w:rsidR="00E33C88">
        <w:rPr>
          <w:rFonts w:ascii="Times New Roman" w:hAnsi="Times New Roman" w:cs="Times New Roman"/>
          <w:sz w:val="24"/>
          <w:szCs w:val="24"/>
        </w:rPr>
        <w:t>250,1</w:t>
      </w:r>
      <w:r w:rsidRPr="007F0808">
        <w:rPr>
          <w:rFonts w:ascii="Times New Roman" w:hAnsi="Times New Roman" w:cs="Times New Roman"/>
          <w:sz w:val="24"/>
          <w:szCs w:val="24"/>
        </w:rPr>
        <w:t xml:space="preserve"> тыс. рублей), на 2021 год – </w:t>
      </w:r>
      <w:r w:rsidR="00E33C88">
        <w:rPr>
          <w:rFonts w:ascii="Times New Roman" w:hAnsi="Times New Roman" w:cs="Times New Roman"/>
          <w:sz w:val="24"/>
          <w:szCs w:val="24"/>
        </w:rPr>
        <w:t>276,7</w:t>
      </w:r>
      <w:r w:rsidRPr="007F0808">
        <w:rPr>
          <w:rFonts w:ascii="Times New Roman" w:hAnsi="Times New Roman" w:cs="Times New Roman"/>
          <w:sz w:val="24"/>
          <w:szCs w:val="24"/>
        </w:rPr>
        <w:t xml:space="preserve"> тыс. рублей (из них  за счет средств республиканского бюджета  </w:t>
      </w:r>
      <w:r w:rsidR="00E33C88">
        <w:rPr>
          <w:rFonts w:ascii="Times New Roman" w:hAnsi="Times New Roman" w:cs="Times New Roman"/>
          <w:sz w:val="24"/>
          <w:szCs w:val="24"/>
        </w:rPr>
        <w:t>-</w:t>
      </w:r>
      <w:r w:rsidRPr="007F0808">
        <w:rPr>
          <w:rFonts w:ascii="Times New Roman" w:hAnsi="Times New Roman" w:cs="Times New Roman"/>
          <w:sz w:val="24"/>
          <w:szCs w:val="24"/>
        </w:rPr>
        <w:t xml:space="preserve"> </w:t>
      </w:r>
      <w:r w:rsidR="00E33C88">
        <w:rPr>
          <w:rFonts w:ascii="Times New Roman" w:hAnsi="Times New Roman" w:cs="Times New Roman"/>
          <w:sz w:val="24"/>
          <w:szCs w:val="24"/>
        </w:rPr>
        <w:t>249,0</w:t>
      </w:r>
      <w:r w:rsidRPr="007F0808">
        <w:rPr>
          <w:rFonts w:ascii="Times New Roman" w:hAnsi="Times New Roman" w:cs="Times New Roman"/>
          <w:sz w:val="24"/>
          <w:szCs w:val="24"/>
        </w:rPr>
        <w:t xml:space="preserve"> тыс. рублей), на 2022 год – 5</w:t>
      </w:r>
      <w:r w:rsidR="00E33C88">
        <w:rPr>
          <w:rFonts w:ascii="Times New Roman" w:hAnsi="Times New Roman" w:cs="Times New Roman"/>
          <w:sz w:val="24"/>
          <w:szCs w:val="24"/>
        </w:rPr>
        <w:t>00,8</w:t>
      </w:r>
      <w:r w:rsidRPr="007F0808">
        <w:rPr>
          <w:rFonts w:ascii="Times New Roman" w:hAnsi="Times New Roman" w:cs="Times New Roman"/>
          <w:sz w:val="24"/>
          <w:szCs w:val="24"/>
        </w:rPr>
        <w:t xml:space="preserve"> тыс. рублей  (из них  за счет средств республиканского бюджета </w:t>
      </w:r>
      <w:r w:rsidR="00E33C88">
        <w:rPr>
          <w:rFonts w:ascii="Times New Roman" w:hAnsi="Times New Roman" w:cs="Times New Roman"/>
          <w:sz w:val="24"/>
          <w:szCs w:val="24"/>
        </w:rPr>
        <w:t>-</w:t>
      </w:r>
      <w:r w:rsidRPr="007F0808">
        <w:rPr>
          <w:rFonts w:ascii="Times New Roman" w:hAnsi="Times New Roman" w:cs="Times New Roman"/>
          <w:sz w:val="24"/>
          <w:szCs w:val="24"/>
        </w:rPr>
        <w:t xml:space="preserve"> </w:t>
      </w:r>
      <w:r w:rsidR="00E33C88">
        <w:rPr>
          <w:rFonts w:ascii="Times New Roman" w:hAnsi="Times New Roman" w:cs="Times New Roman"/>
          <w:sz w:val="24"/>
          <w:szCs w:val="24"/>
        </w:rPr>
        <w:t>450,7</w:t>
      </w:r>
      <w:r w:rsidRPr="007F0808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E33C88">
        <w:rPr>
          <w:rFonts w:ascii="Times New Roman" w:hAnsi="Times New Roman" w:cs="Times New Roman"/>
          <w:sz w:val="24"/>
          <w:szCs w:val="24"/>
        </w:rPr>
        <w:t>рублей);</w:t>
      </w:r>
    </w:p>
    <w:p w:rsidR="00E33C88" w:rsidRDefault="00E33C88" w:rsidP="00E33C8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C88">
        <w:rPr>
          <w:rFonts w:ascii="Times New Roman" w:hAnsi="Times New Roman" w:cs="Times New Roman"/>
          <w:sz w:val="24"/>
          <w:szCs w:val="24"/>
        </w:rPr>
        <w:t>-  содержание и ремонт автомобильных дорог общего пользования местного значения в границах населенных пунктов поселений на 2020 год в сумме 207,2 тыс. рублей или 4,5% от общей суммы прогнозируемых расходов (за счет средств республиканского бюджета в сумме 186,5 тыс. рублей), на 2021 год – 207,2 тыс. рублей (за счет средств республиканского бюджета в сумме 186,5 тыс. рублей), на 2022 год – 207,2 тыс. рублей (за счет средств республиканского бюджета в сумме 186,5 тыс. рублей)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555" w:rsidRDefault="00E33C88" w:rsidP="00AD655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C88">
        <w:rPr>
          <w:rFonts w:ascii="Times New Roman" w:hAnsi="Times New Roman" w:cs="Times New Roman"/>
          <w:sz w:val="24"/>
          <w:szCs w:val="24"/>
        </w:rPr>
        <w:t>- капитальный ремонт и ремонт автомобильных дорог общего пользования местного значения в границах населенных пунктов поселений за счет средств бюджета поселения на 2020 год в сумме 144,0 тыс. рублей или 3,2% от общей суммы прогнозируемых расходов, на 2021 год – 143,8 тыс. рублей, на 2022 год – 162,0 тыс. рублей</w:t>
      </w:r>
      <w:r w:rsidR="00AD6555">
        <w:rPr>
          <w:rFonts w:ascii="Times New Roman" w:hAnsi="Times New Roman" w:cs="Times New Roman"/>
          <w:sz w:val="24"/>
          <w:szCs w:val="24"/>
        </w:rPr>
        <w:t>;</w:t>
      </w:r>
    </w:p>
    <w:p w:rsidR="00E33C88" w:rsidRPr="00E33C88" w:rsidRDefault="00E33C88" w:rsidP="00AD655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C88">
        <w:rPr>
          <w:rFonts w:ascii="Times New Roman" w:hAnsi="Times New Roman" w:cs="Times New Roman"/>
          <w:sz w:val="24"/>
          <w:szCs w:val="24"/>
        </w:rPr>
        <w:t>-  содержание и ремонт автомобильных дорог общего пользования местного значения в границах населенных пунктов поселений за счет средств бюджета поселения на 2020 год в сумме 107,2 тыс. рублей или 2,3% от общей суммы прогнозируемых расходов, на 2021 год – 107,5 тыс. рублей, на 2022 год – 66,9 тыс. рублей.</w:t>
      </w:r>
    </w:p>
    <w:p w:rsidR="007F0808" w:rsidRDefault="0030713F" w:rsidP="00E33C8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по данному разделу в общем объеме расходов в 2020 году составит</w:t>
      </w: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555">
        <w:rPr>
          <w:rFonts w:ascii="Times New Roman" w:eastAsia="Times New Roman" w:hAnsi="Times New Roman" w:cs="Times New Roman"/>
          <w:sz w:val="24"/>
          <w:szCs w:val="24"/>
          <w:lang w:eastAsia="ru-RU"/>
        </w:rPr>
        <w:t>16,1 %,</w:t>
      </w: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2021 и 2022 годах составит </w:t>
      </w:r>
      <w:r w:rsidR="00AD6555">
        <w:rPr>
          <w:rFonts w:ascii="Times New Roman" w:eastAsia="Times New Roman" w:hAnsi="Times New Roman" w:cs="Times New Roman"/>
          <w:sz w:val="24"/>
          <w:szCs w:val="24"/>
          <w:lang w:eastAsia="ru-RU"/>
        </w:rPr>
        <w:t>21,7</w:t>
      </w: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 </w:t>
      </w:r>
      <w:r w:rsidR="00AD6555">
        <w:rPr>
          <w:rFonts w:ascii="Times New Roman" w:eastAsia="Times New Roman" w:hAnsi="Times New Roman" w:cs="Times New Roman"/>
          <w:sz w:val="24"/>
          <w:szCs w:val="24"/>
          <w:lang w:eastAsia="ru-RU"/>
        </w:rPr>
        <w:t>26,3</w:t>
      </w: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соответственно.</w:t>
      </w:r>
    </w:p>
    <w:p w:rsidR="00AD6555" w:rsidRDefault="00BF3190" w:rsidP="00AD6555">
      <w:pPr>
        <w:pBdr>
          <w:bottom w:val="single" w:sz="12" w:space="31" w:color="auto"/>
        </w:pBdr>
        <w:spacing w:before="240"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 </w:t>
      </w:r>
      <w:r w:rsidR="00681006" w:rsidRPr="001B2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1B2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«Жилищно-коммунальное хозяйство</w:t>
      </w:r>
      <w:r w:rsidR="007150BE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44437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</w:t>
      </w:r>
      <w:r w:rsidR="007C66B4" w:rsidRPr="001B2ADA">
        <w:rPr>
          <w:rFonts w:ascii="Times New Roman" w:hAnsi="Times New Roman" w:cs="Times New Roman"/>
          <w:sz w:val="24"/>
          <w:szCs w:val="24"/>
        </w:rPr>
        <w:t xml:space="preserve">на 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7C66B4" w:rsidRPr="001B2ADA">
        <w:rPr>
          <w:rFonts w:ascii="Times New Roman" w:hAnsi="Times New Roman" w:cs="Times New Roman"/>
          <w:sz w:val="24"/>
          <w:szCs w:val="24"/>
        </w:rPr>
        <w:t>муниципальн</w:t>
      </w:r>
      <w:r w:rsidR="008730AE" w:rsidRPr="001B2ADA">
        <w:rPr>
          <w:rFonts w:ascii="Times New Roman" w:hAnsi="Times New Roman" w:cs="Times New Roman"/>
          <w:sz w:val="24"/>
          <w:szCs w:val="24"/>
        </w:rPr>
        <w:t>ой</w:t>
      </w:r>
      <w:r w:rsidR="007C66B4" w:rsidRPr="001B2ADA">
        <w:rPr>
          <w:rFonts w:ascii="Times New Roman" w:hAnsi="Times New Roman" w:cs="Times New Roman"/>
          <w:sz w:val="24"/>
          <w:szCs w:val="24"/>
        </w:rPr>
        <w:t xml:space="preserve"> </w:t>
      </w:r>
      <w:r w:rsidR="007C66B4" w:rsidRPr="00AD655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D6555" w:rsidRPr="00AD6555">
        <w:rPr>
          <w:rFonts w:ascii="Times New Roman" w:hAnsi="Times New Roman" w:cs="Times New Roman"/>
          <w:sz w:val="24"/>
          <w:szCs w:val="24"/>
        </w:rPr>
        <w:t xml:space="preserve"> "Формирование современной городской среды на территории Чувашской Республики</w:t>
      </w:r>
      <w:r w:rsidR="00AD6555" w:rsidRPr="00CA1622">
        <w:rPr>
          <w:sz w:val="24"/>
          <w:szCs w:val="24"/>
        </w:rPr>
        <w:t>"</w:t>
      </w:r>
      <w:r w:rsidR="00AD6555">
        <w:rPr>
          <w:sz w:val="24"/>
          <w:szCs w:val="24"/>
        </w:rPr>
        <w:t>.</w:t>
      </w:r>
      <w:r w:rsidR="007F0808" w:rsidRPr="001B2ADA">
        <w:rPr>
          <w:rFonts w:ascii="Times New Roman" w:hAnsi="Times New Roman" w:cs="Times New Roman"/>
          <w:sz w:val="24"/>
          <w:szCs w:val="24"/>
        </w:rPr>
        <w:t xml:space="preserve"> </w:t>
      </w:r>
      <w:r w:rsidR="007C66B4" w:rsidRPr="001B2ADA">
        <w:rPr>
          <w:rFonts w:ascii="Times New Roman" w:hAnsi="Times New Roman" w:cs="Times New Roman"/>
          <w:sz w:val="24"/>
          <w:szCs w:val="24"/>
        </w:rPr>
        <w:t>В проекте решения на реализацию данной программы предусмотрен</w:t>
      </w:r>
      <w:r w:rsidR="008730AE" w:rsidRPr="001B2ADA">
        <w:rPr>
          <w:rFonts w:ascii="Times New Roman" w:hAnsi="Times New Roman" w:cs="Times New Roman"/>
          <w:sz w:val="24"/>
          <w:szCs w:val="24"/>
        </w:rPr>
        <w:t>ы</w:t>
      </w:r>
      <w:r w:rsidR="007C66B4" w:rsidRPr="001B2ADA">
        <w:rPr>
          <w:rFonts w:ascii="Times New Roman" w:hAnsi="Times New Roman" w:cs="Times New Roman"/>
          <w:sz w:val="24"/>
          <w:szCs w:val="24"/>
        </w:rPr>
        <w:t xml:space="preserve"> 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ассигнования на 2020 год в сумме </w:t>
      </w:r>
      <w:r w:rsidR="00AD6555">
        <w:rPr>
          <w:rFonts w:ascii="Times New Roman" w:hAnsi="Times New Roman" w:cs="Times New Roman"/>
          <w:sz w:val="24"/>
          <w:szCs w:val="24"/>
        </w:rPr>
        <w:t>175,0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F0808" w:rsidRPr="001B2ADA">
        <w:rPr>
          <w:rFonts w:ascii="Times New Roman" w:hAnsi="Times New Roman" w:cs="Times New Roman"/>
          <w:sz w:val="24"/>
          <w:szCs w:val="24"/>
        </w:rPr>
        <w:t>,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 или </w:t>
      </w:r>
      <w:r w:rsidR="00AD6555">
        <w:rPr>
          <w:rFonts w:ascii="Times New Roman" w:hAnsi="Times New Roman" w:cs="Times New Roman"/>
          <w:sz w:val="24"/>
          <w:szCs w:val="24"/>
        </w:rPr>
        <w:t>26,2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 % </w:t>
      </w:r>
      <w:r w:rsidR="00AD6555">
        <w:rPr>
          <w:rFonts w:ascii="Times New Roman" w:hAnsi="Times New Roman" w:cs="Times New Roman"/>
          <w:sz w:val="24"/>
          <w:szCs w:val="24"/>
        </w:rPr>
        <w:t xml:space="preserve"> к плановому  уровню 2019 года.</w:t>
      </w:r>
    </w:p>
    <w:p w:rsidR="001B2ADA" w:rsidRPr="001B2ADA" w:rsidRDefault="009407A3" w:rsidP="00AD655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DA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AD6555">
        <w:rPr>
          <w:rFonts w:ascii="Times New Roman" w:hAnsi="Times New Roman" w:cs="Times New Roman"/>
          <w:sz w:val="24"/>
          <w:szCs w:val="24"/>
        </w:rPr>
        <w:t xml:space="preserve">и 2022 год </w:t>
      </w:r>
      <w:r w:rsidRPr="001B2ADA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AD6555">
        <w:rPr>
          <w:rFonts w:ascii="Times New Roman" w:hAnsi="Times New Roman" w:cs="Times New Roman"/>
          <w:sz w:val="24"/>
          <w:szCs w:val="24"/>
        </w:rPr>
        <w:t xml:space="preserve"> также по 175,0 тыс. руб. ежегодно.</w:t>
      </w:r>
    </w:p>
    <w:p w:rsidR="001B2ADA" w:rsidRDefault="00BF3190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</w:t>
      </w:r>
      <w:r w:rsidR="00AD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AD6555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="007150BE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D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7D0" w:rsidRPr="00FE17D0" w:rsidRDefault="00BF3190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«Культура, кинематография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18122C">
        <w:rPr>
          <w:rFonts w:ascii="Times New Roman" w:hAnsi="Times New Roman" w:cs="Times New Roman"/>
          <w:sz w:val="24"/>
          <w:szCs w:val="24"/>
        </w:rPr>
        <w:t xml:space="preserve">юджетные ассигнования предусмотрены на  реализацию подпрограммы "Развитие культуры" муниципальной программы "Развитие культуры и туризма".На обеспечение деятельности учреждений в сфере культурно - </w:t>
      </w:r>
      <w:proofErr w:type="spellStart"/>
      <w:r w:rsidR="0040561B" w:rsidRPr="0018122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18122C">
        <w:rPr>
          <w:rFonts w:ascii="Times New Roman" w:hAnsi="Times New Roman" w:cs="Times New Roman"/>
          <w:sz w:val="24"/>
          <w:szCs w:val="24"/>
        </w:rPr>
        <w:t xml:space="preserve"> обслуживания населения на 2020 год  предусмотрены  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ассигнования  в сумме </w:t>
      </w:r>
      <w:r w:rsidR="00AD6555">
        <w:rPr>
          <w:rFonts w:ascii="Times New Roman" w:hAnsi="Times New Roman" w:cs="Times New Roman"/>
          <w:sz w:val="24"/>
          <w:szCs w:val="24"/>
        </w:rPr>
        <w:t>1960,6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="009407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D6555">
        <w:rPr>
          <w:rFonts w:ascii="Times New Roman" w:hAnsi="Times New Roman" w:cs="Times New Roman"/>
          <w:sz w:val="24"/>
          <w:szCs w:val="24"/>
        </w:rPr>
        <w:t>99,9</w:t>
      </w:r>
      <w:r w:rsidR="009407A3">
        <w:rPr>
          <w:rFonts w:ascii="Times New Roman" w:hAnsi="Times New Roman" w:cs="Times New Roman"/>
          <w:sz w:val="24"/>
          <w:szCs w:val="24"/>
        </w:rPr>
        <w:t xml:space="preserve"> % к уровню 2019 года.</w:t>
      </w:r>
      <w:r w:rsidR="00FE17D0">
        <w:rPr>
          <w:rFonts w:ascii="Times New Roman" w:hAnsi="Times New Roman" w:cs="Times New Roman"/>
          <w:sz w:val="24"/>
          <w:szCs w:val="24"/>
        </w:rPr>
        <w:t xml:space="preserve"> Из </w:t>
      </w:r>
      <w:r w:rsidR="00FE17D0" w:rsidRPr="00FE17D0">
        <w:rPr>
          <w:rFonts w:ascii="Times New Roman" w:hAnsi="Times New Roman" w:cs="Times New Roman"/>
          <w:sz w:val="24"/>
          <w:szCs w:val="24"/>
        </w:rPr>
        <w:t>них:</w:t>
      </w:r>
    </w:p>
    <w:p w:rsidR="00FE17D0" w:rsidRPr="00FE17D0" w:rsidRDefault="00FE17D0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D0">
        <w:rPr>
          <w:rFonts w:ascii="Times New Roman" w:hAnsi="Times New Roman" w:cs="Times New Roman"/>
          <w:sz w:val="24"/>
          <w:szCs w:val="24"/>
        </w:rPr>
        <w:t xml:space="preserve">-на обеспечение деятельности учреждений в сфере культурно - </w:t>
      </w:r>
      <w:proofErr w:type="spellStart"/>
      <w:r w:rsidRPr="00FE17D0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FE17D0">
        <w:rPr>
          <w:rFonts w:ascii="Times New Roman" w:hAnsi="Times New Roman" w:cs="Times New Roman"/>
          <w:sz w:val="24"/>
          <w:szCs w:val="24"/>
        </w:rPr>
        <w:t xml:space="preserve"> обслуживания населения предусмотрено на 2020 год в сумме 896,8 тыс.  рублей, или 19,6% от общей суммы прогнозируемых расходов, в том числе, предусмотрены иные межбюджетные трансферты для перечисления в бюджет Ибресинского района на содержание работников учреждений культуры на 2020 год в сумме 532,1 тыс.  рублей;</w:t>
      </w:r>
    </w:p>
    <w:p w:rsidR="00FE17D0" w:rsidRPr="00FE17D0" w:rsidRDefault="00FE17D0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D0">
        <w:rPr>
          <w:rFonts w:ascii="Times New Roman" w:hAnsi="Times New Roman" w:cs="Times New Roman"/>
          <w:sz w:val="24"/>
          <w:szCs w:val="24"/>
        </w:rPr>
        <w:t xml:space="preserve">- на укрепление материально-технической базы муниципальных учреждений </w:t>
      </w:r>
      <w:proofErr w:type="spellStart"/>
      <w:r w:rsidRPr="00FE17D0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FE17D0">
        <w:rPr>
          <w:rFonts w:ascii="Times New Roman" w:hAnsi="Times New Roman" w:cs="Times New Roman"/>
          <w:sz w:val="24"/>
          <w:szCs w:val="24"/>
        </w:rPr>
        <w:t xml:space="preserve"> типа  на2020 год предусмотрены 1063,8 тыс.  рублей, или 23,3% от общей суммы прогнозируемых расходов, из них за счет  средств республиканского бюджета – в сумме 1000,0 тыс. рублей. </w:t>
      </w:r>
    </w:p>
    <w:p w:rsidR="00FE17D0" w:rsidRPr="00FE17D0" w:rsidRDefault="00FE17D0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D0">
        <w:rPr>
          <w:rFonts w:ascii="Times New Roman" w:hAnsi="Times New Roman" w:cs="Times New Roman"/>
          <w:sz w:val="24"/>
          <w:szCs w:val="24"/>
        </w:rPr>
        <w:t xml:space="preserve">На  2021 год предусматривается выделение  средств в  сумме 672,9 тыс.  рублей ,  2022 год – 569,7 тыс. рублей. </w:t>
      </w:r>
    </w:p>
    <w:p w:rsidR="001B2ADA" w:rsidRPr="00FE17D0" w:rsidRDefault="0040561B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D0"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 w:rsidRP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 w:rsidRPr="00FE17D0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FE17D0" w:rsidRPr="00FE17D0">
        <w:rPr>
          <w:rFonts w:ascii="Times New Roman" w:hAnsi="Times New Roman" w:cs="Times New Roman"/>
          <w:sz w:val="24"/>
          <w:szCs w:val="24"/>
        </w:rPr>
        <w:t>42,9</w:t>
      </w:r>
      <w:r w:rsidRPr="00FE17D0">
        <w:rPr>
          <w:rFonts w:ascii="Times New Roman" w:hAnsi="Times New Roman" w:cs="Times New Roman"/>
          <w:sz w:val="24"/>
          <w:szCs w:val="24"/>
        </w:rPr>
        <w:t xml:space="preserve">%  , </w:t>
      </w:r>
      <w:r w:rsidR="000565CF" w:rsidRPr="00FE17D0">
        <w:rPr>
          <w:rFonts w:ascii="Times New Roman" w:hAnsi="Times New Roman" w:cs="Times New Roman"/>
          <w:sz w:val="24"/>
          <w:szCs w:val="24"/>
        </w:rPr>
        <w:t>на</w:t>
      </w:r>
      <w:r w:rsidRPr="00FE17D0">
        <w:rPr>
          <w:rFonts w:ascii="Times New Roman" w:hAnsi="Times New Roman" w:cs="Times New Roman"/>
          <w:sz w:val="24"/>
          <w:szCs w:val="24"/>
        </w:rPr>
        <w:t xml:space="preserve">  2021 год – </w:t>
      </w:r>
      <w:r w:rsidR="00FE17D0" w:rsidRPr="00FE17D0">
        <w:rPr>
          <w:rFonts w:ascii="Times New Roman" w:hAnsi="Times New Roman" w:cs="Times New Roman"/>
          <w:sz w:val="24"/>
          <w:szCs w:val="24"/>
        </w:rPr>
        <w:t>19,8</w:t>
      </w:r>
      <w:r w:rsidRPr="00FE17D0">
        <w:rPr>
          <w:rFonts w:ascii="Times New Roman" w:hAnsi="Times New Roman" w:cs="Times New Roman"/>
          <w:sz w:val="24"/>
          <w:szCs w:val="24"/>
        </w:rPr>
        <w:t xml:space="preserve">%,  </w:t>
      </w:r>
      <w:r w:rsidR="000565CF" w:rsidRPr="00FE17D0">
        <w:rPr>
          <w:rFonts w:ascii="Times New Roman" w:hAnsi="Times New Roman" w:cs="Times New Roman"/>
          <w:sz w:val="24"/>
          <w:szCs w:val="24"/>
        </w:rPr>
        <w:t>на</w:t>
      </w:r>
      <w:r w:rsidRPr="00FE17D0">
        <w:rPr>
          <w:rFonts w:ascii="Times New Roman" w:hAnsi="Times New Roman" w:cs="Times New Roman"/>
          <w:sz w:val="24"/>
          <w:szCs w:val="24"/>
        </w:rPr>
        <w:t xml:space="preserve"> 2022 год – </w:t>
      </w:r>
      <w:r w:rsidR="00FE17D0" w:rsidRPr="00FE17D0">
        <w:rPr>
          <w:rFonts w:ascii="Times New Roman" w:hAnsi="Times New Roman" w:cs="Times New Roman"/>
          <w:sz w:val="24"/>
          <w:szCs w:val="24"/>
        </w:rPr>
        <w:t>16,0</w:t>
      </w:r>
      <w:r w:rsidRPr="00FE17D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E17D0" w:rsidRPr="00FE17D0" w:rsidRDefault="00FE17D0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ADA" w:rsidRDefault="00240E83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C71" w:rsidRP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 w:rsidRP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8122C" w:rsidRPr="00FE17D0">
        <w:rPr>
          <w:rFonts w:ascii="Times New Roman" w:hAnsi="Times New Roman" w:cs="Times New Roman"/>
          <w:sz w:val="24"/>
          <w:szCs w:val="24"/>
        </w:rPr>
        <w:t>устанавливается общий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2,5% общего объема расходов бюджета, на второй год планового периода в объеме не менее 5% общего объема расходов бюджета.</w:t>
      </w:r>
      <w:r w:rsidR="007B68CC">
        <w:rPr>
          <w:rFonts w:ascii="Times New Roman" w:hAnsi="Times New Roman" w:cs="Times New Roman"/>
          <w:sz w:val="24"/>
          <w:szCs w:val="24"/>
        </w:rPr>
        <w:t xml:space="preserve"> 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Условно утвержденные расходы предусмотрены в 2021 году в сумме </w:t>
      </w:r>
      <w:r w:rsidR="00FE17D0">
        <w:rPr>
          <w:rFonts w:ascii="Times New Roman" w:hAnsi="Times New Roman" w:cs="Times New Roman"/>
          <w:sz w:val="24"/>
          <w:szCs w:val="24"/>
        </w:rPr>
        <w:t>71,6</w:t>
      </w:r>
      <w:r w:rsidR="001F37A5">
        <w:rPr>
          <w:rFonts w:ascii="Times New Roman" w:hAnsi="Times New Roman" w:cs="Times New Roman"/>
          <w:sz w:val="24"/>
          <w:szCs w:val="24"/>
        </w:rPr>
        <w:t xml:space="preserve"> тыс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. рублей, в 2022 году – </w:t>
      </w:r>
      <w:r w:rsidR="00FE17D0">
        <w:rPr>
          <w:rFonts w:ascii="Times New Roman" w:hAnsi="Times New Roman" w:cs="Times New Roman"/>
          <w:sz w:val="24"/>
          <w:szCs w:val="24"/>
        </w:rPr>
        <w:t>141,6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B2ADA" w:rsidRDefault="001B2ADA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E14" w:rsidRDefault="00BF3190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BC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Малокармалинского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  <w:r w:rsid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122C" w:rsidRPr="0018122C">
        <w:t xml:space="preserve"> </w:t>
      </w:r>
    </w:p>
    <w:p w:rsidR="001B2ADA" w:rsidRDefault="00BF3190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бюджета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5B5B25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Малокармалинском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 показателей, представленных для рассмотрения  и утверждения  в проекте решения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>4566,7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>3390,8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>3562,9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B68C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>4566,7</w:t>
      </w:r>
      <w:r w:rsidR="007B68C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2021 год – </w:t>
      </w:r>
      <w:r w:rsid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>3390,8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2022 год – </w:t>
      </w:r>
      <w:r w:rsid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>3563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337F9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46E5" w:rsidRDefault="001161CA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>71,6</w:t>
      </w:r>
      <w:r w:rsid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>141,6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E46E5" w:rsidRDefault="004110C2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r w:rsidR="00BC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  <w:r w:rsidR="0011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1CA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  <w:r w:rsidR="001161CA">
        <w:rPr>
          <w:rFonts w:ascii="Times New Roman" w:eastAsia="Times New Roman" w:hAnsi="Times New Roman" w:cs="Times New Roman"/>
          <w:sz w:val="24"/>
          <w:szCs w:val="24"/>
          <w:lang w:eastAsia="ru-RU"/>
        </w:rPr>
        <w:t>11.2019 г.</w:t>
      </w: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E14" w:rsidSect="00974E14">
      <w:pgSz w:w="11906" w:h="16838"/>
      <w:pgMar w:top="79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F3" w:rsidRDefault="002B73F3" w:rsidP="00B1668B">
      <w:pPr>
        <w:spacing w:after="0" w:line="240" w:lineRule="auto"/>
      </w:pPr>
      <w:r>
        <w:separator/>
      </w:r>
    </w:p>
  </w:endnote>
  <w:endnote w:type="continuationSeparator" w:id="0">
    <w:p w:rsidR="002B73F3" w:rsidRDefault="002B73F3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F3" w:rsidRDefault="002B73F3" w:rsidP="00B1668B">
      <w:pPr>
        <w:spacing w:after="0" w:line="240" w:lineRule="auto"/>
      </w:pPr>
      <w:r>
        <w:separator/>
      </w:r>
    </w:p>
  </w:footnote>
  <w:footnote w:type="continuationSeparator" w:id="0">
    <w:p w:rsidR="002B73F3" w:rsidRDefault="002B73F3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16BA"/>
    <w:rsid w:val="00007985"/>
    <w:rsid w:val="000163F0"/>
    <w:rsid w:val="00036767"/>
    <w:rsid w:val="0004144C"/>
    <w:rsid w:val="00042891"/>
    <w:rsid w:val="000565CF"/>
    <w:rsid w:val="00063062"/>
    <w:rsid w:val="00070853"/>
    <w:rsid w:val="00070C59"/>
    <w:rsid w:val="000744B9"/>
    <w:rsid w:val="00075F56"/>
    <w:rsid w:val="00076064"/>
    <w:rsid w:val="00082CC8"/>
    <w:rsid w:val="00083983"/>
    <w:rsid w:val="00092025"/>
    <w:rsid w:val="00093D75"/>
    <w:rsid w:val="000C1F1C"/>
    <w:rsid w:val="000C4EEB"/>
    <w:rsid w:val="000C773C"/>
    <w:rsid w:val="000D6F88"/>
    <w:rsid w:val="000E4AF7"/>
    <w:rsid w:val="000F5B0E"/>
    <w:rsid w:val="00104BC5"/>
    <w:rsid w:val="00110BD4"/>
    <w:rsid w:val="001161CA"/>
    <w:rsid w:val="0012301C"/>
    <w:rsid w:val="00123F68"/>
    <w:rsid w:val="0013267B"/>
    <w:rsid w:val="00136055"/>
    <w:rsid w:val="00136E68"/>
    <w:rsid w:val="00140F45"/>
    <w:rsid w:val="00147411"/>
    <w:rsid w:val="001510D3"/>
    <w:rsid w:val="0015720F"/>
    <w:rsid w:val="0015765C"/>
    <w:rsid w:val="00162E87"/>
    <w:rsid w:val="00163254"/>
    <w:rsid w:val="00172EF0"/>
    <w:rsid w:val="00173E2B"/>
    <w:rsid w:val="00180659"/>
    <w:rsid w:val="0018122C"/>
    <w:rsid w:val="001816CA"/>
    <w:rsid w:val="001842CA"/>
    <w:rsid w:val="001A0E23"/>
    <w:rsid w:val="001B2ADA"/>
    <w:rsid w:val="001C7BB2"/>
    <w:rsid w:val="001D05CC"/>
    <w:rsid w:val="001D0BA9"/>
    <w:rsid w:val="001F37A5"/>
    <w:rsid w:val="00200405"/>
    <w:rsid w:val="0023175C"/>
    <w:rsid w:val="00240E83"/>
    <w:rsid w:val="002464FA"/>
    <w:rsid w:val="002654BF"/>
    <w:rsid w:val="00271D79"/>
    <w:rsid w:val="00272218"/>
    <w:rsid w:val="00291152"/>
    <w:rsid w:val="00294399"/>
    <w:rsid w:val="0029558F"/>
    <w:rsid w:val="002B41C3"/>
    <w:rsid w:val="002B4369"/>
    <w:rsid w:val="002B4D95"/>
    <w:rsid w:val="002B73F3"/>
    <w:rsid w:val="002C0229"/>
    <w:rsid w:val="002C5B93"/>
    <w:rsid w:val="002C7A96"/>
    <w:rsid w:val="002D7C4B"/>
    <w:rsid w:val="002F6DC9"/>
    <w:rsid w:val="002F7421"/>
    <w:rsid w:val="0030713F"/>
    <w:rsid w:val="00321189"/>
    <w:rsid w:val="0032598E"/>
    <w:rsid w:val="00337962"/>
    <w:rsid w:val="00341304"/>
    <w:rsid w:val="00344437"/>
    <w:rsid w:val="00352690"/>
    <w:rsid w:val="0035748D"/>
    <w:rsid w:val="00360E0D"/>
    <w:rsid w:val="0036455D"/>
    <w:rsid w:val="00373821"/>
    <w:rsid w:val="0037526F"/>
    <w:rsid w:val="0037772C"/>
    <w:rsid w:val="003804B9"/>
    <w:rsid w:val="00381A08"/>
    <w:rsid w:val="00383CB0"/>
    <w:rsid w:val="00391901"/>
    <w:rsid w:val="003979FD"/>
    <w:rsid w:val="003A037C"/>
    <w:rsid w:val="003A7B8B"/>
    <w:rsid w:val="003C29F6"/>
    <w:rsid w:val="003C2E26"/>
    <w:rsid w:val="003E1B8B"/>
    <w:rsid w:val="003E3B2D"/>
    <w:rsid w:val="003F0895"/>
    <w:rsid w:val="0040561B"/>
    <w:rsid w:val="00407E6A"/>
    <w:rsid w:val="004110C2"/>
    <w:rsid w:val="00412136"/>
    <w:rsid w:val="004147B4"/>
    <w:rsid w:val="00416004"/>
    <w:rsid w:val="0041788D"/>
    <w:rsid w:val="004219FB"/>
    <w:rsid w:val="00421F06"/>
    <w:rsid w:val="00422E59"/>
    <w:rsid w:val="00422FF1"/>
    <w:rsid w:val="00426DA9"/>
    <w:rsid w:val="00427294"/>
    <w:rsid w:val="00441CAB"/>
    <w:rsid w:val="00467B69"/>
    <w:rsid w:val="00483522"/>
    <w:rsid w:val="00497C3A"/>
    <w:rsid w:val="004B13AD"/>
    <w:rsid w:val="004C308D"/>
    <w:rsid w:val="004C597E"/>
    <w:rsid w:val="004C7C1F"/>
    <w:rsid w:val="004D077F"/>
    <w:rsid w:val="004E5AAC"/>
    <w:rsid w:val="004E7214"/>
    <w:rsid w:val="0050100A"/>
    <w:rsid w:val="005050D8"/>
    <w:rsid w:val="00507A20"/>
    <w:rsid w:val="00510BD8"/>
    <w:rsid w:val="00511C71"/>
    <w:rsid w:val="005132AF"/>
    <w:rsid w:val="005159AD"/>
    <w:rsid w:val="00515ACA"/>
    <w:rsid w:val="00516353"/>
    <w:rsid w:val="005312A6"/>
    <w:rsid w:val="00540DA7"/>
    <w:rsid w:val="00541875"/>
    <w:rsid w:val="00561A6A"/>
    <w:rsid w:val="00564C6F"/>
    <w:rsid w:val="00574AF1"/>
    <w:rsid w:val="005A25BE"/>
    <w:rsid w:val="005B5B25"/>
    <w:rsid w:val="005C08DF"/>
    <w:rsid w:val="005C3245"/>
    <w:rsid w:val="005C7B50"/>
    <w:rsid w:val="005D2674"/>
    <w:rsid w:val="005E0831"/>
    <w:rsid w:val="005E1E5C"/>
    <w:rsid w:val="005E39AC"/>
    <w:rsid w:val="005F2366"/>
    <w:rsid w:val="005F5F33"/>
    <w:rsid w:val="00630C6D"/>
    <w:rsid w:val="00632E2D"/>
    <w:rsid w:val="006337F9"/>
    <w:rsid w:val="00634331"/>
    <w:rsid w:val="00635885"/>
    <w:rsid w:val="006517F4"/>
    <w:rsid w:val="00654E10"/>
    <w:rsid w:val="00655474"/>
    <w:rsid w:val="00655DFD"/>
    <w:rsid w:val="0066359D"/>
    <w:rsid w:val="00666B58"/>
    <w:rsid w:val="00671C1E"/>
    <w:rsid w:val="00681006"/>
    <w:rsid w:val="00691CFC"/>
    <w:rsid w:val="00692FE0"/>
    <w:rsid w:val="006A21B7"/>
    <w:rsid w:val="006A3587"/>
    <w:rsid w:val="006A7DC1"/>
    <w:rsid w:val="006B5827"/>
    <w:rsid w:val="006B6F7C"/>
    <w:rsid w:val="006C0A64"/>
    <w:rsid w:val="006C1974"/>
    <w:rsid w:val="006C3EFA"/>
    <w:rsid w:val="006D21E0"/>
    <w:rsid w:val="006E2AFA"/>
    <w:rsid w:val="006F3CEF"/>
    <w:rsid w:val="00703C60"/>
    <w:rsid w:val="007046A9"/>
    <w:rsid w:val="0070702A"/>
    <w:rsid w:val="0071131D"/>
    <w:rsid w:val="007139F1"/>
    <w:rsid w:val="007150BE"/>
    <w:rsid w:val="0072039F"/>
    <w:rsid w:val="0072217C"/>
    <w:rsid w:val="0072235B"/>
    <w:rsid w:val="00722BB5"/>
    <w:rsid w:val="007336DB"/>
    <w:rsid w:val="007416D1"/>
    <w:rsid w:val="0074252B"/>
    <w:rsid w:val="00743448"/>
    <w:rsid w:val="007563E3"/>
    <w:rsid w:val="0075708C"/>
    <w:rsid w:val="007575CA"/>
    <w:rsid w:val="007613AC"/>
    <w:rsid w:val="007662BA"/>
    <w:rsid w:val="00770E19"/>
    <w:rsid w:val="00774997"/>
    <w:rsid w:val="00784FA5"/>
    <w:rsid w:val="0078570D"/>
    <w:rsid w:val="0078644F"/>
    <w:rsid w:val="00790BB7"/>
    <w:rsid w:val="007A40C5"/>
    <w:rsid w:val="007A4B4C"/>
    <w:rsid w:val="007B5F1E"/>
    <w:rsid w:val="007B68CC"/>
    <w:rsid w:val="007B6FDC"/>
    <w:rsid w:val="007C6219"/>
    <w:rsid w:val="007C63B1"/>
    <w:rsid w:val="007C6522"/>
    <w:rsid w:val="007C66B4"/>
    <w:rsid w:val="007E4C78"/>
    <w:rsid w:val="007E5A2D"/>
    <w:rsid w:val="007F0808"/>
    <w:rsid w:val="00801008"/>
    <w:rsid w:val="00803FEA"/>
    <w:rsid w:val="00816FEE"/>
    <w:rsid w:val="00817E68"/>
    <w:rsid w:val="00821923"/>
    <w:rsid w:val="00830C0E"/>
    <w:rsid w:val="00836AE5"/>
    <w:rsid w:val="00843129"/>
    <w:rsid w:val="00845D4A"/>
    <w:rsid w:val="00850A9B"/>
    <w:rsid w:val="00851470"/>
    <w:rsid w:val="00852F64"/>
    <w:rsid w:val="00860FD5"/>
    <w:rsid w:val="00865A7D"/>
    <w:rsid w:val="00866E6F"/>
    <w:rsid w:val="00870D48"/>
    <w:rsid w:val="008730AE"/>
    <w:rsid w:val="0088098D"/>
    <w:rsid w:val="00892D41"/>
    <w:rsid w:val="008A219F"/>
    <w:rsid w:val="008A77E8"/>
    <w:rsid w:val="008C2028"/>
    <w:rsid w:val="008C78F3"/>
    <w:rsid w:val="008D0B29"/>
    <w:rsid w:val="008D0B8E"/>
    <w:rsid w:val="008E0921"/>
    <w:rsid w:val="008E2A20"/>
    <w:rsid w:val="008F4F9D"/>
    <w:rsid w:val="00903ED7"/>
    <w:rsid w:val="00917D18"/>
    <w:rsid w:val="00931E42"/>
    <w:rsid w:val="009407A3"/>
    <w:rsid w:val="00942B4C"/>
    <w:rsid w:val="00943DBA"/>
    <w:rsid w:val="00951B74"/>
    <w:rsid w:val="00951D39"/>
    <w:rsid w:val="00960813"/>
    <w:rsid w:val="00964B8D"/>
    <w:rsid w:val="00970E23"/>
    <w:rsid w:val="00974E14"/>
    <w:rsid w:val="009A1C28"/>
    <w:rsid w:val="009A37FF"/>
    <w:rsid w:val="009B09C9"/>
    <w:rsid w:val="009B52E0"/>
    <w:rsid w:val="009C0902"/>
    <w:rsid w:val="009C1BCC"/>
    <w:rsid w:val="009C2909"/>
    <w:rsid w:val="009C7D79"/>
    <w:rsid w:val="00A03BE3"/>
    <w:rsid w:val="00A057DF"/>
    <w:rsid w:val="00A2545E"/>
    <w:rsid w:val="00A31F51"/>
    <w:rsid w:val="00A36510"/>
    <w:rsid w:val="00A439FA"/>
    <w:rsid w:val="00A632A6"/>
    <w:rsid w:val="00A707E9"/>
    <w:rsid w:val="00A724EA"/>
    <w:rsid w:val="00A76A58"/>
    <w:rsid w:val="00A927AD"/>
    <w:rsid w:val="00A94595"/>
    <w:rsid w:val="00AB31CF"/>
    <w:rsid w:val="00AD475C"/>
    <w:rsid w:val="00AD6555"/>
    <w:rsid w:val="00AD6563"/>
    <w:rsid w:val="00AE25DC"/>
    <w:rsid w:val="00AF42CD"/>
    <w:rsid w:val="00AF6677"/>
    <w:rsid w:val="00B01C52"/>
    <w:rsid w:val="00B06073"/>
    <w:rsid w:val="00B0689B"/>
    <w:rsid w:val="00B07C1F"/>
    <w:rsid w:val="00B1668B"/>
    <w:rsid w:val="00B232C0"/>
    <w:rsid w:val="00B353D7"/>
    <w:rsid w:val="00B357C3"/>
    <w:rsid w:val="00B43D19"/>
    <w:rsid w:val="00B51C1F"/>
    <w:rsid w:val="00B66004"/>
    <w:rsid w:val="00B72976"/>
    <w:rsid w:val="00B7334C"/>
    <w:rsid w:val="00B853CD"/>
    <w:rsid w:val="00B8581B"/>
    <w:rsid w:val="00BA0E35"/>
    <w:rsid w:val="00BB05F8"/>
    <w:rsid w:val="00BB3DF8"/>
    <w:rsid w:val="00BB5E5C"/>
    <w:rsid w:val="00BB74EF"/>
    <w:rsid w:val="00BC187E"/>
    <w:rsid w:val="00BC5683"/>
    <w:rsid w:val="00BC7E0F"/>
    <w:rsid w:val="00BF3190"/>
    <w:rsid w:val="00C21EA4"/>
    <w:rsid w:val="00C36120"/>
    <w:rsid w:val="00C55E0A"/>
    <w:rsid w:val="00C56C50"/>
    <w:rsid w:val="00C57233"/>
    <w:rsid w:val="00C641CF"/>
    <w:rsid w:val="00C72587"/>
    <w:rsid w:val="00C80A3B"/>
    <w:rsid w:val="00C822B0"/>
    <w:rsid w:val="00C961F6"/>
    <w:rsid w:val="00C971C9"/>
    <w:rsid w:val="00CA70EC"/>
    <w:rsid w:val="00CC5CA0"/>
    <w:rsid w:val="00CC795E"/>
    <w:rsid w:val="00CC7AB5"/>
    <w:rsid w:val="00CE1096"/>
    <w:rsid w:val="00CE3499"/>
    <w:rsid w:val="00CE46E5"/>
    <w:rsid w:val="00CE4FC0"/>
    <w:rsid w:val="00CF29D8"/>
    <w:rsid w:val="00D00ACF"/>
    <w:rsid w:val="00D07636"/>
    <w:rsid w:val="00D118EA"/>
    <w:rsid w:val="00D137F0"/>
    <w:rsid w:val="00D145D3"/>
    <w:rsid w:val="00D170C1"/>
    <w:rsid w:val="00D33B46"/>
    <w:rsid w:val="00D358ED"/>
    <w:rsid w:val="00D417B1"/>
    <w:rsid w:val="00D43508"/>
    <w:rsid w:val="00D5479C"/>
    <w:rsid w:val="00D54B45"/>
    <w:rsid w:val="00D61B49"/>
    <w:rsid w:val="00D63A98"/>
    <w:rsid w:val="00D642F4"/>
    <w:rsid w:val="00D76A4C"/>
    <w:rsid w:val="00D778E7"/>
    <w:rsid w:val="00D844CF"/>
    <w:rsid w:val="00D867AF"/>
    <w:rsid w:val="00DA730C"/>
    <w:rsid w:val="00DB41C9"/>
    <w:rsid w:val="00E00749"/>
    <w:rsid w:val="00E02E32"/>
    <w:rsid w:val="00E07A83"/>
    <w:rsid w:val="00E10833"/>
    <w:rsid w:val="00E13A6A"/>
    <w:rsid w:val="00E2634C"/>
    <w:rsid w:val="00E30E2B"/>
    <w:rsid w:val="00E33644"/>
    <w:rsid w:val="00E33C88"/>
    <w:rsid w:val="00E34EAE"/>
    <w:rsid w:val="00E47499"/>
    <w:rsid w:val="00E53BC5"/>
    <w:rsid w:val="00E55E23"/>
    <w:rsid w:val="00E61B3F"/>
    <w:rsid w:val="00E62C64"/>
    <w:rsid w:val="00E70FCC"/>
    <w:rsid w:val="00E76557"/>
    <w:rsid w:val="00E82256"/>
    <w:rsid w:val="00E83F80"/>
    <w:rsid w:val="00E91122"/>
    <w:rsid w:val="00E96867"/>
    <w:rsid w:val="00EA4501"/>
    <w:rsid w:val="00EB7DCC"/>
    <w:rsid w:val="00EC0BCF"/>
    <w:rsid w:val="00EC659A"/>
    <w:rsid w:val="00EE5D07"/>
    <w:rsid w:val="00EF2D4C"/>
    <w:rsid w:val="00EF5A01"/>
    <w:rsid w:val="00F13994"/>
    <w:rsid w:val="00F14A65"/>
    <w:rsid w:val="00F1775F"/>
    <w:rsid w:val="00F27429"/>
    <w:rsid w:val="00F521EE"/>
    <w:rsid w:val="00F53694"/>
    <w:rsid w:val="00F543F4"/>
    <w:rsid w:val="00F63343"/>
    <w:rsid w:val="00F656FC"/>
    <w:rsid w:val="00F67F03"/>
    <w:rsid w:val="00F70C08"/>
    <w:rsid w:val="00F72B31"/>
    <w:rsid w:val="00F76924"/>
    <w:rsid w:val="00F8591E"/>
    <w:rsid w:val="00F922DD"/>
    <w:rsid w:val="00F948EB"/>
    <w:rsid w:val="00FA65EE"/>
    <w:rsid w:val="00FA6DE8"/>
    <w:rsid w:val="00FB34BA"/>
    <w:rsid w:val="00FB59F9"/>
    <w:rsid w:val="00FB6367"/>
    <w:rsid w:val="00FD023F"/>
    <w:rsid w:val="00FD4981"/>
    <w:rsid w:val="00FE04AE"/>
    <w:rsid w:val="00FE17D0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Стиль1"/>
    <w:basedOn w:val="a"/>
    <w:link w:val="11"/>
    <w:qFormat/>
    <w:rsid w:val="00A632A6"/>
    <w:pPr>
      <w:pBdr>
        <w:bottom w:val="single" w:sz="12" w:space="21" w:color="auto"/>
      </w:pBd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10"/>
    <w:link w:val="20"/>
    <w:qFormat/>
    <w:rsid w:val="00A632A6"/>
  </w:style>
  <w:style w:type="character" w:customStyle="1" w:styleId="11">
    <w:name w:val="Стиль1 Знак"/>
    <w:basedOn w:val="a0"/>
    <w:link w:val="10"/>
    <w:rsid w:val="00A632A6"/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2"/>
    <w:link w:val="30"/>
    <w:qFormat/>
    <w:rsid w:val="00A632A6"/>
    <w:rPr>
      <w:rFonts w:eastAsia="Times New Roman"/>
      <w:lang w:eastAsia="ru-RU"/>
    </w:rPr>
  </w:style>
  <w:style w:type="character" w:customStyle="1" w:styleId="20">
    <w:name w:val="Стиль2 Знак"/>
    <w:basedOn w:val="11"/>
    <w:link w:val="2"/>
    <w:rsid w:val="00A632A6"/>
  </w:style>
  <w:style w:type="character" w:customStyle="1" w:styleId="30">
    <w:name w:val="Стиль3 Знак"/>
    <w:basedOn w:val="20"/>
    <w:link w:val="3"/>
    <w:rsid w:val="00A632A6"/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30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67EDC-73FB-423B-BB3C-C040F17B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6</cp:revision>
  <cp:lastPrinted>2019-12-20T07:46:00Z</cp:lastPrinted>
  <dcterms:created xsi:type="dcterms:W3CDTF">2019-12-20T05:27:00Z</dcterms:created>
  <dcterms:modified xsi:type="dcterms:W3CDTF">2019-12-20T08:37:00Z</dcterms:modified>
</cp:coreProperties>
</file>