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294399" w:rsidRPr="009A1C28" w:rsidRDefault="006337F9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.11.2019                                                                                                      № 6</w:t>
      </w:r>
      <w:r w:rsidR="00426B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5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BF31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B40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Большеабакасинского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B40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Большеабакасинского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Большеабакасинском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соответствует требованиям  Положения «О регулировании бюджетных правоотношений в </w:t>
      </w:r>
      <w:proofErr w:type="spellStart"/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Большеабакасинском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7662BA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ями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proofErr w:type="spellStart"/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Большеабакасинском</w:t>
      </w:r>
      <w:proofErr w:type="spellEnd"/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r w:rsidR="00B4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Большеабакасинского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2020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2021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2022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454576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76" w:rsidRPr="009A1C28" w:rsidRDefault="00454576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76" w:rsidRDefault="0045457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3968,1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76" w:rsidRDefault="0045457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4463,7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76" w:rsidRDefault="0045457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76" w:rsidRDefault="0045457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76" w:rsidRDefault="0045457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76" w:rsidRDefault="0045457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3450,6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76" w:rsidRDefault="0045457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107,4</w:t>
            </w:r>
          </w:p>
        </w:tc>
      </w:tr>
      <w:tr w:rsidR="00454576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76" w:rsidRPr="009A1C28" w:rsidRDefault="00454576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76" w:rsidRDefault="0045457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4192,8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76" w:rsidRDefault="0045457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4463,7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76" w:rsidRDefault="0045457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76" w:rsidRDefault="0045457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76" w:rsidRDefault="0045457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76" w:rsidRDefault="0045457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3450,6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76" w:rsidRDefault="00454576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107,4</w:t>
            </w:r>
          </w:p>
        </w:tc>
      </w:tr>
      <w:tr w:rsidR="00070853" w:rsidRPr="00070853" w:rsidTr="002C5B93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9A1C28" w:rsidRDefault="00070853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790BB7" w:rsidRDefault="00454576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-224,7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72217C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790BB7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790BB7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92D3D">
        <w:rPr>
          <w:rFonts w:ascii="Times New Roman" w:eastAsia="Times New Roman" w:hAnsi="Times New Roman" w:cs="Times New Roman"/>
          <w:sz w:val="24"/>
          <w:szCs w:val="24"/>
          <w:lang w:eastAsia="ru-RU"/>
        </w:rPr>
        <w:t>953,4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A92D3D">
        <w:rPr>
          <w:rFonts w:ascii="Times New Roman" w:eastAsia="Times New Roman" w:hAnsi="Times New Roman" w:cs="Times New Roman"/>
          <w:sz w:val="24"/>
          <w:szCs w:val="24"/>
          <w:lang w:eastAsia="ru-RU"/>
        </w:rPr>
        <w:t>952,1т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A92D3D">
        <w:rPr>
          <w:rFonts w:ascii="Times New Roman" w:eastAsia="Times New Roman" w:hAnsi="Times New Roman" w:cs="Times New Roman"/>
          <w:sz w:val="24"/>
          <w:szCs w:val="24"/>
          <w:lang w:eastAsia="ru-RU"/>
        </w:rPr>
        <w:t>1213,0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A92D3D">
        <w:rPr>
          <w:rFonts w:ascii="Times New Roman" w:eastAsia="Times New Roman" w:hAnsi="Times New Roman" w:cs="Times New Roman"/>
          <w:sz w:val="24"/>
          <w:szCs w:val="24"/>
          <w:lang w:eastAsia="ru-RU"/>
        </w:rPr>
        <w:t>64,0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2022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A92D3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126,6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тыс. рублей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Большеабакасинского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A9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83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B4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Большеабакасинского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B4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Большеабакасинского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B4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Большеабакасинского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proofErr w:type="spellStart"/>
      <w:r w:rsidR="00B4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Большеабакасинском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основных направлений бюджетной политики Правительства Российской Федерации и Чувашской Республики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годах,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B4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Большеабакасинского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23.07.2001 </w:t>
      </w:r>
      <w:proofErr w:type="spellStart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spellEnd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36.</w:t>
      </w:r>
    </w:p>
    <w:p w:rsidR="006C1974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 w:rsidR="00B40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Большеабакасинского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2A20" w:rsidRPr="002C0229" w:rsidRDefault="008E2A20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</w:t>
      </w:r>
      <w:r w:rsidR="00B4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Большеабакасинского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прогнозируются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сумме </w:t>
      </w:r>
      <w:r w:rsidR="00A9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4463,7</w:t>
      </w:r>
      <w:r w:rsid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9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3214,0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– </w:t>
      </w:r>
      <w:r w:rsidR="0083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92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450,6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  <w:r w:rsidR="00BF3190" w:rsidRPr="0038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2A20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1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E1038C" w:rsidRDefault="008E2A20" w:rsidP="003E1B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 xml:space="preserve">2019 год (решение о бюджете) сумма </w:t>
            </w:r>
          </w:p>
          <w:p w:rsidR="008E2A20" w:rsidRPr="00E1038C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 xml:space="preserve">(тыс. </w:t>
            </w:r>
            <w:proofErr w:type="spellStart"/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E1038C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E1038C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E1038C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E1038C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E1038C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>сумма 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E1038C" w:rsidRDefault="00E1038C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E2A20" w:rsidRPr="00E1038C">
              <w:rPr>
                <w:rFonts w:ascii="Times New Roman" w:eastAsia="Times New Roman" w:hAnsi="Times New Roman" w:cs="Times New Roman"/>
                <w:lang w:eastAsia="ru-RU"/>
              </w:rPr>
              <w:t>редыду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E2A20" w:rsidRPr="00E1038C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>щему</w:t>
            </w:r>
            <w:proofErr w:type="spellEnd"/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  <w:p w:rsidR="008E2A20" w:rsidRPr="00E1038C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E1038C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>сумма 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E1038C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proofErr w:type="spellStart"/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>предыду-щему</w:t>
            </w:r>
            <w:proofErr w:type="spellEnd"/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  <w:p w:rsidR="008E2A20" w:rsidRPr="00E1038C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E1038C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>сумма 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E1038C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proofErr w:type="spellStart"/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>преды-дущему</w:t>
            </w:r>
            <w:proofErr w:type="spellEnd"/>
            <w:r w:rsidRPr="00E1038C">
              <w:rPr>
                <w:rFonts w:ascii="Times New Roman" w:eastAsia="Times New Roman" w:hAnsi="Times New Roman" w:cs="Times New Roman"/>
                <w:lang w:eastAsia="ru-RU"/>
              </w:rPr>
              <w:t xml:space="preserve"> году(%)</w:t>
            </w:r>
          </w:p>
        </w:tc>
      </w:tr>
      <w:tr w:rsidR="00836AE5" w:rsidRPr="00E1038C" w:rsidTr="007B5F1E">
        <w:trPr>
          <w:trHeight w:val="471"/>
        </w:trPr>
        <w:tc>
          <w:tcPr>
            <w:tcW w:w="1985" w:type="dxa"/>
            <w:shd w:val="clear" w:color="auto" w:fill="auto"/>
          </w:tcPr>
          <w:p w:rsidR="00836AE5" w:rsidRPr="002C0229" w:rsidRDefault="00836AE5" w:rsidP="003E1B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A92D3D" w:rsidP="00A92D3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color w:val="000000"/>
              </w:rPr>
              <w:t>3968,1</w:t>
            </w:r>
          </w:p>
        </w:tc>
        <w:tc>
          <w:tcPr>
            <w:tcW w:w="992" w:type="dxa"/>
            <w:shd w:val="clear" w:color="auto" w:fill="auto"/>
          </w:tcPr>
          <w:p w:rsidR="00836AE5" w:rsidRPr="00E1038C" w:rsidRDefault="001121C9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color w:val="000000"/>
              </w:rPr>
              <w:t>4463,7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1121C9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bCs/>
                <w:color w:val="000000"/>
              </w:rPr>
              <w:t>112,5</w:t>
            </w:r>
          </w:p>
        </w:tc>
        <w:tc>
          <w:tcPr>
            <w:tcW w:w="992" w:type="dxa"/>
            <w:shd w:val="clear" w:color="auto" w:fill="auto"/>
          </w:tcPr>
          <w:p w:rsidR="00836AE5" w:rsidRPr="00E1038C" w:rsidRDefault="001121C9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color w:val="000000"/>
              </w:rPr>
              <w:t>3214,0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1121C9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bCs/>
                <w:color w:val="000000"/>
              </w:rPr>
              <w:t>72,0</w:t>
            </w:r>
          </w:p>
        </w:tc>
        <w:tc>
          <w:tcPr>
            <w:tcW w:w="1124" w:type="dxa"/>
            <w:shd w:val="clear" w:color="auto" w:fill="auto"/>
          </w:tcPr>
          <w:p w:rsidR="00836AE5" w:rsidRPr="00E1038C" w:rsidRDefault="001121C9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color w:val="000000"/>
              </w:rPr>
              <w:t>3450,6</w:t>
            </w:r>
          </w:p>
        </w:tc>
        <w:tc>
          <w:tcPr>
            <w:tcW w:w="968" w:type="dxa"/>
            <w:shd w:val="clear" w:color="auto" w:fill="auto"/>
          </w:tcPr>
          <w:p w:rsidR="00836AE5" w:rsidRPr="00E1038C" w:rsidRDefault="001121C9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bCs/>
                <w:color w:val="000000"/>
              </w:rPr>
              <w:t>107,4</w:t>
            </w:r>
          </w:p>
        </w:tc>
      </w:tr>
      <w:tr w:rsidR="00836AE5" w:rsidRPr="00E1038C" w:rsidTr="007B5F1E">
        <w:trPr>
          <w:trHeight w:val="277"/>
        </w:trPr>
        <w:tc>
          <w:tcPr>
            <w:tcW w:w="1985" w:type="dxa"/>
            <w:shd w:val="clear" w:color="auto" w:fill="auto"/>
          </w:tcPr>
          <w:p w:rsidR="00836AE5" w:rsidRPr="002C0229" w:rsidRDefault="00836AE5" w:rsidP="007B5F1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229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836AE5" w:rsidP="007B5F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AE5" w:rsidRPr="00E1038C" w:rsidRDefault="00836AE5" w:rsidP="007B5F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6AE5" w:rsidRPr="00E1038C" w:rsidRDefault="00836AE5" w:rsidP="007B5F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6AE5" w:rsidRPr="00E1038C" w:rsidRDefault="00836AE5" w:rsidP="007B5F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6AE5" w:rsidRPr="00E1038C" w:rsidRDefault="00836AE5" w:rsidP="007B5F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836AE5" w:rsidRPr="00E1038C" w:rsidRDefault="00836AE5" w:rsidP="007B5F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836AE5" w:rsidRPr="00E1038C" w:rsidRDefault="00836AE5" w:rsidP="007B5F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AE5" w:rsidRPr="00E1038C" w:rsidTr="007B5F1E">
        <w:trPr>
          <w:trHeight w:val="557"/>
        </w:trPr>
        <w:tc>
          <w:tcPr>
            <w:tcW w:w="1985" w:type="dxa"/>
            <w:shd w:val="clear" w:color="auto" w:fill="auto"/>
          </w:tcPr>
          <w:p w:rsidR="00836AE5" w:rsidRPr="002C0229" w:rsidRDefault="00836AE5" w:rsidP="003E1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1121C9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1093,3</w:t>
            </w:r>
          </w:p>
        </w:tc>
        <w:tc>
          <w:tcPr>
            <w:tcW w:w="992" w:type="dxa"/>
            <w:shd w:val="clear" w:color="auto" w:fill="auto"/>
          </w:tcPr>
          <w:p w:rsidR="00836AE5" w:rsidRPr="00E1038C" w:rsidRDefault="001121C9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1139,6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E1038C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992" w:type="dxa"/>
            <w:shd w:val="clear" w:color="auto" w:fill="auto"/>
          </w:tcPr>
          <w:p w:rsidR="00836AE5" w:rsidRPr="00E1038C" w:rsidRDefault="001121C9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1146,4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E1038C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24" w:type="dxa"/>
            <w:shd w:val="clear" w:color="auto" w:fill="auto"/>
          </w:tcPr>
          <w:p w:rsidR="00836AE5" w:rsidRPr="00E1038C" w:rsidRDefault="001121C9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1152,4</w:t>
            </w:r>
          </w:p>
        </w:tc>
        <w:tc>
          <w:tcPr>
            <w:tcW w:w="968" w:type="dxa"/>
            <w:shd w:val="clear" w:color="auto" w:fill="auto"/>
          </w:tcPr>
          <w:p w:rsidR="00836AE5" w:rsidRPr="00E1038C" w:rsidRDefault="00E1038C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100,5</w:t>
            </w:r>
          </w:p>
        </w:tc>
      </w:tr>
      <w:tr w:rsidR="00836AE5" w:rsidRPr="00E1038C" w:rsidTr="007B5F1E">
        <w:trPr>
          <w:trHeight w:val="580"/>
        </w:trPr>
        <w:tc>
          <w:tcPr>
            <w:tcW w:w="1985" w:type="dxa"/>
            <w:shd w:val="clear" w:color="auto" w:fill="auto"/>
          </w:tcPr>
          <w:p w:rsidR="00836AE5" w:rsidRPr="002C0229" w:rsidRDefault="00836AE5" w:rsidP="003E1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E1038C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103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92" w:type="dxa"/>
            <w:shd w:val="clear" w:color="auto" w:fill="auto"/>
          </w:tcPr>
          <w:p w:rsidR="00836AE5" w:rsidRPr="00E1038C" w:rsidRDefault="00E1038C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103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25,56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836AE5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6AE5" w:rsidRPr="00E1038C" w:rsidRDefault="00E1038C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103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836AE5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836AE5" w:rsidRPr="00E1038C" w:rsidRDefault="00E1038C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1038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68" w:type="dxa"/>
            <w:shd w:val="clear" w:color="auto" w:fill="auto"/>
          </w:tcPr>
          <w:p w:rsidR="00836AE5" w:rsidRPr="00E1038C" w:rsidRDefault="00836AE5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36AE5" w:rsidRPr="00E1038C" w:rsidTr="007B5F1E">
        <w:tc>
          <w:tcPr>
            <w:tcW w:w="1985" w:type="dxa"/>
            <w:shd w:val="clear" w:color="auto" w:fill="auto"/>
          </w:tcPr>
          <w:p w:rsidR="00836AE5" w:rsidRPr="002C0229" w:rsidRDefault="00836AE5" w:rsidP="003E1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1121C9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2874,8</w:t>
            </w:r>
          </w:p>
        </w:tc>
        <w:tc>
          <w:tcPr>
            <w:tcW w:w="992" w:type="dxa"/>
            <w:shd w:val="clear" w:color="auto" w:fill="auto"/>
          </w:tcPr>
          <w:p w:rsidR="00836AE5" w:rsidRPr="00E1038C" w:rsidRDefault="001121C9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3324,1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E1038C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992" w:type="dxa"/>
            <w:shd w:val="clear" w:color="auto" w:fill="auto"/>
          </w:tcPr>
          <w:p w:rsidR="00836AE5" w:rsidRPr="00E1038C" w:rsidRDefault="001121C9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2067,6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E1038C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124" w:type="dxa"/>
            <w:shd w:val="clear" w:color="auto" w:fill="auto"/>
          </w:tcPr>
          <w:p w:rsidR="00836AE5" w:rsidRPr="00E1038C" w:rsidRDefault="001121C9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2298,2</w:t>
            </w:r>
          </w:p>
        </w:tc>
        <w:tc>
          <w:tcPr>
            <w:tcW w:w="968" w:type="dxa"/>
            <w:shd w:val="clear" w:color="auto" w:fill="auto"/>
          </w:tcPr>
          <w:p w:rsidR="00836AE5" w:rsidRPr="00E1038C" w:rsidRDefault="00E1038C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03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111,2</w:t>
            </w:r>
          </w:p>
        </w:tc>
      </w:tr>
      <w:tr w:rsidR="00836AE5" w:rsidRPr="002C0229" w:rsidTr="007B5F1E">
        <w:trPr>
          <w:trHeight w:val="604"/>
        </w:trPr>
        <w:tc>
          <w:tcPr>
            <w:tcW w:w="1985" w:type="dxa"/>
            <w:shd w:val="clear" w:color="auto" w:fill="auto"/>
          </w:tcPr>
          <w:p w:rsidR="00836AE5" w:rsidRPr="002C0229" w:rsidRDefault="00836AE5" w:rsidP="003E1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E1038C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992" w:type="dxa"/>
            <w:shd w:val="clear" w:color="auto" w:fill="auto"/>
          </w:tcPr>
          <w:p w:rsidR="00836AE5" w:rsidRPr="00E1038C" w:rsidRDefault="00E1038C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836AE5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6AE5" w:rsidRPr="00E1038C" w:rsidRDefault="00E1038C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276" w:type="dxa"/>
            <w:shd w:val="clear" w:color="auto" w:fill="auto"/>
          </w:tcPr>
          <w:p w:rsidR="00836AE5" w:rsidRPr="00E1038C" w:rsidRDefault="00836AE5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836AE5" w:rsidRPr="00E1038C" w:rsidRDefault="00E1038C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68" w:type="dxa"/>
            <w:shd w:val="clear" w:color="auto" w:fill="auto"/>
          </w:tcPr>
          <w:p w:rsidR="00836AE5" w:rsidRPr="00E1038C" w:rsidRDefault="00836AE5" w:rsidP="007B5F1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6B5827" w:rsidRPr="00E1038C" w:rsidRDefault="00C641CF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BF3190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доходов бюджета </w:t>
      </w:r>
      <w:r w:rsidR="00B408B3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50100A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F922DD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</w:t>
      </w:r>
      <w:r w:rsidR="007B5F1E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величатся</w:t>
      </w:r>
      <w:r w:rsidR="007B5F1E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46,3</w:t>
      </w:r>
      <w:r w:rsidR="007B5F1E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на </w:t>
      </w:r>
      <w:r w:rsid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4,2</w:t>
      </w:r>
      <w:r w:rsidR="007B5F1E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и составят </w:t>
      </w:r>
      <w:r w:rsid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1139,6</w:t>
      </w:r>
      <w:r w:rsidR="00BF3190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5F1E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доля </w:t>
      </w:r>
      <w:r w:rsidR="00BF3190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25,5</w:t>
      </w:r>
      <w:r w:rsidR="00BF3190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B5F1E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3190" w:rsidRPr="00E1038C" w:rsidRDefault="007B5F1E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 поступление собственных доходов увеличится на </w:t>
      </w:r>
      <w:r w:rsid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составит 11</w:t>
      </w:r>
      <w:r w:rsid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46,4</w:t>
      </w:r>
      <w:r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 а в 2022 году </w:t>
      </w:r>
      <w:r w:rsid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 сос</w:t>
      </w:r>
      <w:r w:rsidR="006B5827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 </w:t>
      </w:r>
      <w:r w:rsid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1152,4</w:t>
      </w:r>
      <w:r w:rsidR="006B5827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Удельный вес  собственных доходов составит  в плановый период 3</w:t>
      </w:r>
      <w:r w:rsid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5,7</w:t>
      </w:r>
      <w:r w:rsidR="006B5827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3</w:t>
      </w:r>
      <w:r w:rsid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 w:rsidR="006B5827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 в 2021 и 2022 годах. </w:t>
      </w:r>
    </w:p>
    <w:p w:rsidR="006B5827" w:rsidRPr="003B0526" w:rsidRDefault="006B5827" w:rsidP="006B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B408B3" w:rsidRPr="00E103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таблице.</w:t>
      </w:r>
    </w:p>
    <w:p w:rsidR="006B5827" w:rsidRDefault="006B5827" w:rsidP="006B58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108" w:type="dxa"/>
        <w:tblLook w:val="01E0"/>
      </w:tblPr>
      <w:tblGrid>
        <w:gridCol w:w="4111"/>
        <w:gridCol w:w="1464"/>
        <w:gridCol w:w="1371"/>
        <w:gridCol w:w="1418"/>
        <w:gridCol w:w="1275"/>
      </w:tblGrid>
      <w:tr w:rsidR="006B5827" w:rsidRPr="00B20B85" w:rsidTr="003E1B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7" w:rsidRPr="00B20B85" w:rsidRDefault="006B5827" w:rsidP="003E1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7" w:rsidRPr="00B20B85" w:rsidRDefault="006B5827" w:rsidP="00A8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20B85">
              <w:rPr>
                <w:sz w:val="24"/>
                <w:szCs w:val="24"/>
              </w:rPr>
              <w:t xml:space="preserve"> год </w:t>
            </w:r>
            <w:r w:rsidR="00A84AF8">
              <w:rPr>
                <w:sz w:val="24"/>
                <w:szCs w:val="24"/>
              </w:rPr>
              <w:t>(</w:t>
            </w:r>
            <w:r w:rsidRPr="00B20B85">
              <w:rPr>
                <w:sz w:val="24"/>
                <w:szCs w:val="24"/>
              </w:rPr>
              <w:t>план</w:t>
            </w:r>
            <w:r w:rsidR="00A84AF8">
              <w:rPr>
                <w:sz w:val="24"/>
                <w:szCs w:val="24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7" w:rsidRPr="00B20B85" w:rsidRDefault="006B5827" w:rsidP="00A8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20B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7" w:rsidRPr="00B20B85" w:rsidRDefault="006B5827" w:rsidP="00A8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20B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7" w:rsidRPr="00B20B85" w:rsidRDefault="006B5827" w:rsidP="00A84AF8">
            <w:pPr>
              <w:ind w:left="156" w:hanging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B20B85">
              <w:rPr>
                <w:sz w:val="24"/>
                <w:szCs w:val="24"/>
              </w:rPr>
              <w:t xml:space="preserve"> год</w:t>
            </w:r>
          </w:p>
        </w:tc>
      </w:tr>
      <w:tr w:rsidR="00A84AF8" w:rsidRPr="00B20B85" w:rsidTr="003E1B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F8" w:rsidRPr="00B20B85" w:rsidRDefault="00A84AF8" w:rsidP="003E1B8B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Собственные доходы, всего, 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1093,3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1139,6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1146,4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1152,4</w:t>
            </w:r>
          </w:p>
        </w:tc>
      </w:tr>
      <w:tr w:rsidR="00A84AF8" w:rsidRPr="00B20B85" w:rsidTr="003E1B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F8" w:rsidRPr="00B20B85" w:rsidRDefault="00A84AF8" w:rsidP="003E1B8B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4AF8" w:rsidRPr="00B20B85" w:rsidTr="003E1B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F8" w:rsidRPr="00B20B85" w:rsidRDefault="00A84AF8" w:rsidP="003E1B8B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792,1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856,4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862,4</w:t>
            </w:r>
          </w:p>
        </w:tc>
      </w:tr>
      <w:tr w:rsidR="00A84AF8" w:rsidRPr="00B20B85" w:rsidTr="003E1B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F8" w:rsidRPr="00B20B85" w:rsidRDefault="00A84AF8" w:rsidP="003E1B8B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74,8</w:t>
            </w:r>
          </w:p>
        </w:tc>
      </w:tr>
      <w:tr w:rsidR="00A84AF8" w:rsidRPr="00B20B85" w:rsidTr="003E1B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F8" w:rsidRPr="00B20B85" w:rsidRDefault="00A84AF8" w:rsidP="003E1B8B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Неналоговые доходы, тыс. рублей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F8" w:rsidRPr="00A84AF8" w:rsidRDefault="00A84AF8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290</w:t>
            </w:r>
          </w:p>
        </w:tc>
      </w:tr>
      <w:tr w:rsidR="00830C0E" w:rsidRPr="00B20B85" w:rsidTr="003E1B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E" w:rsidRPr="00B20B85" w:rsidRDefault="00830C0E" w:rsidP="003E1B8B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A84AF8" w:rsidRDefault="00A84AF8" w:rsidP="00830C0E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A84AF8" w:rsidRDefault="00A84AF8" w:rsidP="00830C0E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A84AF8" w:rsidRDefault="00A84AF8" w:rsidP="00830C0E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E" w:rsidRPr="00A84AF8" w:rsidRDefault="00A84AF8" w:rsidP="00830C0E">
            <w:pPr>
              <w:jc w:val="right"/>
              <w:rPr>
                <w:color w:val="000000"/>
                <w:sz w:val="24"/>
                <w:szCs w:val="24"/>
              </w:rPr>
            </w:pPr>
            <w:r w:rsidRPr="00A84AF8">
              <w:rPr>
                <w:color w:val="000000"/>
                <w:sz w:val="24"/>
                <w:szCs w:val="24"/>
              </w:rPr>
              <w:t>25,2</w:t>
            </w:r>
          </w:p>
        </w:tc>
      </w:tr>
    </w:tbl>
    <w:p w:rsidR="006B5827" w:rsidRDefault="006B5827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587" w:rsidRDefault="006A3587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составляют налоговые доходы, их доля в 2019 году составляет </w:t>
      </w:r>
      <w:r w:rsidR="00A84AF8">
        <w:rPr>
          <w:rFonts w:ascii="Times New Roman" w:eastAsia="Times New Roman" w:hAnsi="Times New Roman" w:cs="Times New Roman"/>
          <w:sz w:val="24"/>
          <w:szCs w:val="24"/>
          <w:lang w:eastAsia="ru-RU"/>
        </w:rPr>
        <w:t>72,5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2020 году - </w:t>
      </w:r>
      <w:r w:rsidR="00A84AF8">
        <w:rPr>
          <w:rFonts w:ascii="Times New Roman" w:eastAsia="Times New Roman" w:hAnsi="Times New Roman" w:cs="Times New Roman"/>
          <w:sz w:val="24"/>
          <w:szCs w:val="24"/>
          <w:lang w:eastAsia="ru-RU"/>
        </w:rPr>
        <w:t>75,0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2021-2022 годах – </w:t>
      </w:r>
      <w:r w:rsidR="00A84AF8">
        <w:rPr>
          <w:rFonts w:ascii="Times New Roman" w:eastAsia="Times New Roman" w:hAnsi="Times New Roman" w:cs="Times New Roman"/>
          <w:sz w:val="24"/>
          <w:szCs w:val="24"/>
          <w:lang w:eastAsia="ru-RU"/>
        </w:rPr>
        <w:t>74,7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A3587" w:rsidRDefault="006A3587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ожидается рост налоговых доходов в 2020 году по сравнению с 2019 годом на </w:t>
      </w:r>
      <w:r w:rsidR="00A84AF8">
        <w:rPr>
          <w:rFonts w:ascii="Times New Roman" w:eastAsia="Times New Roman" w:hAnsi="Times New Roman" w:cs="Times New Roman"/>
          <w:sz w:val="24"/>
          <w:szCs w:val="24"/>
          <w:lang w:eastAsia="ru-RU"/>
        </w:rPr>
        <w:t>62,5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или на </w:t>
      </w:r>
      <w:r w:rsidR="00A84AF8">
        <w:rPr>
          <w:rFonts w:ascii="Times New Roman" w:eastAsia="Times New Roman" w:hAnsi="Times New Roman" w:cs="Times New Roman"/>
          <w:sz w:val="24"/>
          <w:szCs w:val="24"/>
          <w:lang w:eastAsia="ru-RU"/>
        </w:rPr>
        <w:t>7,9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3E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 и 2022 годах   прирост  к предшествующему году сос</w:t>
      </w:r>
      <w:r w:rsidR="003526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E1B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r w:rsidR="00A84AF8"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="0035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E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84AF8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="003E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соответственно. </w:t>
      </w:r>
    </w:p>
    <w:p w:rsidR="00A84AF8" w:rsidRDefault="00A84AF8" w:rsidP="00A84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ожидается рост налоговых доходов в 2020 году по сравнению с 2019 годом на 62,5тыс. рублей, или на 7,9%. В 2012 и 2022 годах   прирост  к предшествующему году составит 0,2%  и 0,7 % соответственно. </w:t>
      </w:r>
    </w:p>
    <w:p w:rsidR="006B5827" w:rsidRDefault="00A84AF8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неналоговых доходов в 2020 году составит 94,6 % (285,0 тыс. руб.)к уровню 2019 года. В последующие годы  доходы  составят 290,0 тыс. руб. ежегодно.</w:t>
      </w:r>
    </w:p>
    <w:p w:rsidR="00BF3190" w:rsidRPr="00865A7D" w:rsidRDefault="00BF3190" w:rsidP="00A6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r w:rsidR="00A8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115,6 % (3324,1 тыс. руб.) от утвержденного плана на 2019 год. 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снижение поступления на </w:t>
      </w:r>
      <w:r w:rsidR="0057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37,8 % , или 1257,0 тыс. руб. , и 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D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24D8">
        <w:rPr>
          <w:rFonts w:ascii="Times New Roman" w:eastAsia="Times New Roman" w:hAnsi="Times New Roman" w:cs="Times New Roman"/>
          <w:sz w:val="24"/>
          <w:szCs w:val="24"/>
          <w:lang w:eastAsia="ru-RU"/>
        </w:rPr>
        <w:t>067,6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запланировано  на уровне 1</w:t>
      </w:r>
      <w:r w:rsidR="005724D8">
        <w:rPr>
          <w:rFonts w:ascii="Times New Roman" w:eastAsia="Times New Roman" w:hAnsi="Times New Roman" w:cs="Times New Roman"/>
          <w:sz w:val="24"/>
          <w:szCs w:val="24"/>
          <w:lang w:eastAsia="ru-RU"/>
        </w:rPr>
        <w:t>11,2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к предыдущему году, или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24D8">
        <w:rPr>
          <w:rFonts w:ascii="Times New Roman" w:eastAsia="Times New Roman" w:hAnsi="Times New Roman" w:cs="Times New Roman"/>
          <w:sz w:val="24"/>
          <w:szCs w:val="24"/>
          <w:lang w:eastAsia="ru-RU"/>
        </w:rPr>
        <w:t>298,2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Pr="003B0526" w:rsidRDefault="00BF3190" w:rsidP="00A632A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DFF" w:rsidRDefault="00063062" w:rsidP="00A632A6">
      <w:pPr>
        <w:spacing w:after="0" w:line="240" w:lineRule="auto"/>
        <w:ind w:firstLine="709"/>
      </w:pPr>
      <w:r>
        <w:rPr>
          <w:rFonts w:ascii="Times New Roman" w:hAnsi="Times New Roman" w:cs="Times New Roman"/>
          <w:b/>
          <w:sz w:val="24"/>
          <w:szCs w:val="24"/>
        </w:rPr>
        <w:t>Поступление н</w:t>
      </w:r>
      <w:r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3062">
        <w:rPr>
          <w:rFonts w:ascii="Times New Roman" w:hAnsi="Times New Roman" w:cs="Times New Roman"/>
          <w:b/>
          <w:sz w:val="24"/>
          <w:szCs w:val="24"/>
        </w:rPr>
        <w:t xml:space="preserve">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2020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Pr="0006306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31DFF" w:rsidRPr="0045777F">
        <w:t xml:space="preserve"> 52,0 тыс. рублей </w:t>
      </w:r>
      <w:r w:rsidR="00831DFF">
        <w:t xml:space="preserve">, что на 1,1 тыс. руб. больше утвержденного на 2019 год.  На </w:t>
      </w:r>
      <w:r w:rsidR="00831DFF" w:rsidRPr="0045777F">
        <w:t xml:space="preserve">2021 год </w:t>
      </w:r>
      <w:r w:rsidR="00831DFF">
        <w:t xml:space="preserve"> планируется в  сумме 48,8 тыс. руб., </w:t>
      </w:r>
      <w:r w:rsidR="00831DFF" w:rsidRPr="0045777F">
        <w:t xml:space="preserve"> на 2022 год – 50,8  тыс. рублей</w:t>
      </w:r>
      <w:r w:rsidR="00831DFF">
        <w:t>.</w:t>
      </w:r>
    </w:p>
    <w:p w:rsidR="007336DB" w:rsidRDefault="007336DB" w:rsidP="00A63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Удельный вес налога </w:t>
      </w:r>
      <w:r w:rsidR="00831DFF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831DFF">
        <w:rPr>
          <w:rFonts w:ascii="Times New Roman" w:hAnsi="Times New Roman" w:cs="Times New Roman"/>
          <w:sz w:val="24"/>
          <w:szCs w:val="24"/>
        </w:rPr>
        <w:t>4,6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062" w:rsidRPr="00063062" w:rsidRDefault="007336DB" w:rsidP="00A63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2020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C78F3">
        <w:rPr>
          <w:rFonts w:ascii="Times New Roman" w:hAnsi="Times New Roman" w:cs="Times New Roman"/>
          <w:sz w:val="24"/>
          <w:szCs w:val="24"/>
        </w:rPr>
        <w:t>3</w:t>
      </w:r>
      <w:r w:rsidR="00831DFF">
        <w:rPr>
          <w:rFonts w:ascii="Times New Roman" w:hAnsi="Times New Roman" w:cs="Times New Roman"/>
          <w:sz w:val="24"/>
          <w:szCs w:val="24"/>
        </w:rPr>
        <w:t>88,6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3</w:t>
      </w:r>
      <w:r w:rsidR="00831DFF">
        <w:rPr>
          <w:rFonts w:ascii="Times New Roman" w:hAnsi="Times New Roman" w:cs="Times New Roman"/>
          <w:sz w:val="24"/>
          <w:szCs w:val="24"/>
        </w:rPr>
        <w:t>4,1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сумма поступления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8C78F3">
        <w:rPr>
          <w:rFonts w:ascii="Times New Roman" w:hAnsi="Times New Roman" w:cs="Times New Roman"/>
          <w:sz w:val="24"/>
          <w:szCs w:val="24"/>
        </w:rPr>
        <w:t>3</w:t>
      </w:r>
      <w:r w:rsidR="00831DFF">
        <w:rPr>
          <w:rFonts w:ascii="Times New Roman" w:hAnsi="Times New Roman" w:cs="Times New Roman"/>
          <w:sz w:val="24"/>
          <w:szCs w:val="24"/>
        </w:rPr>
        <w:t>88,6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рублей, на 2022 год – </w:t>
      </w:r>
      <w:r w:rsidR="008C78F3">
        <w:rPr>
          <w:rFonts w:ascii="Times New Roman" w:hAnsi="Times New Roman" w:cs="Times New Roman"/>
          <w:sz w:val="24"/>
          <w:szCs w:val="24"/>
        </w:rPr>
        <w:t>3</w:t>
      </w:r>
      <w:r w:rsidR="00831DFF">
        <w:rPr>
          <w:rFonts w:ascii="Times New Roman" w:hAnsi="Times New Roman" w:cs="Times New Roman"/>
          <w:sz w:val="24"/>
          <w:szCs w:val="24"/>
        </w:rPr>
        <w:t>88,6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D05CC" w:rsidRDefault="007336DB" w:rsidP="00A63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диный сельскохозяйственный налог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831DFF">
        <w:rPr>
          <w:rFonts w:ascii="Times New Roman" w:hAnsi="Times New Roman" w:cs="Times New Roman"/>
          <w:sz w:val="24"/>
          <w:szCs w:val="24"/>
        </w:rPr>
        <w:t>45,0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 ежегодно. </w:t>
      </w:r>
      <w:r w:rsidR="001D05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оступление налога  спланировано </w:t>
      </w:r>
      <w:r w:rsidR="008C78F3">
        <w:rPr>
          <w:rFonts w:ascii="Times New Roman" w:hAnsi="Times New Roman" w:cs="Times New Roman"/>
          <w:sz w:val="24"/>
          <w:szCs w:val="24"/>
        </w:rPr>
        <w:t xml:space="preserve">на уровне  </w:t>
      </w:r>
      <w:r w:rsidR="001D05CC">
        <w:rPr>
          <w:rFonts w:ascii="Times New Roman" w:hAnsi="Times New Roman" w:cs="Times New Roman"/>
          <w:sz w:val="24"/>
          <w:szCs w:val="24"/>
        </w:rPr>
        <w:t>утвержденно</w:t>
      </w:r>
      <w:r w:rsidR="008C78F3">
        <w:rPr>
          <w:rFonts w:ascii="Times New Roman" w:hAnsi="Times New Roman" w:cs="Times New Roman"/>
          <w:sz w:val="24"/>
          <w:szCs w:val="24"/>
        </w:rPr>
        <w:t>го</w:t>
      </w:r>
      <w:r w:rsidR="001D05C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C78F3">
        <w:rPr>
          <w:rFonts w:ascii="Times New Roman" w:hAnsi="Times New Roman" w:cs="Times New Roman"/>
          <w:sz w:val="24"/>
          <w:szCs w:val="24"/>
        </w:rPr>
        <w:t>я</w:t>
      </w:r>
      <w:r w:rsidR="001D05CC">
        <w:rPr>
          <w:rFonts w:ascii="Times New Roman" w:hAnsi="Times New Roman" w:cs="Times New Roman"/>
          <w:sz w:val="24"/>
          <w:szCs w:val="24"/>
        </w:rPr>
        <w:t xml:space="preserve">  поступления  2019 года  . </w:t>
      </w:r>
    </w:p>
    <w:p w:rsidR="00063062" w:rsidRPr="00063062" w:rsidRDefault="007336DB" w:rsidP="00A63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Доля налога 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831DFF">
        <w:rPr>
          <w:rFonts w:ascii="Times New Roman" w:hAnsi="Times New Roman" w:cs="Times New Roman"/>
          <w:sz w:val="24"/>
          <w:szCs w:val="24"/>
        </w:rPr>
        <w:t>4,0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D05CC" w:rsidRDefault="001D05CC" w:rsidP="00A63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с приростом на </w:t>
      </w:r>
      <w:r w:rsidR="00831DFF">
        <w:rPr>
          <w:rFonts w:ascii="Times New Roman" w:hAnsi="Times New Roman" w:cs="Times New Roman"/>
          <w:sz w:val="24"/>
          <w:szCs w:val="24"/>
        </w:rPr>
        <w:t>3,0</w:t>
      </w:r>
      <w:r w:rsidR="008C7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или </w:t>
      </w:r>
      <w:r w:rsidR="00831DFF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% утвержденному на 2019 год(</w:t>
      </w:r>
      <w:r w:rsidR="008C78F3">
        <w:rPr>
          <w:rFonts w:ascii="Times New Roman" w:hAnsi="Times New Roman" w:cs="Times New Roman"/>
          <w:sz w:val="24"/>
          <w:szCs w:val="24"/>
        </w:rPr>
        <w:t>8</w:t>
      </w:r>
      <w:r w:rsidR="00E8664B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, которое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E8664B">
        <w:rPr>
          <w:rFonts w:ascii="Times New Roman" w:hAnsi="Times New Roman" w:cs="Times New Roman"/>
          <w:sz w:val="24"/>
          <w:szCs w:val="24"/>
        </w:rPr>
        <w:t>85,0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063062">
        <w:rPr>
          <w:rFonts w:ascii="Times New Roman" w:hAnsi="Times New Roman" w:cs="Times New Roman"/>
          <w:sz w:val="24"/>
          <w:szCs w:val="24"/>
        </w:rPr>
        <w:t>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доля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E8664B">
        <w:rPr>
          <w:rFonts w:ascii="Times New Roman" w:hAnsi="Times New Roman" w:cs="Times New Roman"/>
          <w:sz w:val="24"/>
          <w:szCs w:val="24"/>
        </w:rPr>
        <w:t>7,4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3062" w:rsidRPr="00063062" w:rsidRDefault="001D05CC" w:rsidP="00A632A6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запланировано в сумме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E8664B">
        <w:rPr>
          <w:rFonts w:ascii="Times New Roman" w:hAnsi="Times New Roman" w:cs="Times New Roman"/>
          <w:sz w:val="24"/>
          <w:szCs w:val="24"/>
        </w:rPr>
        <w:t>87,0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рублей, на 2022  год – </w:t>
      </w:r>
      <w:r w:rsidR="00E8664B">
        <w:rPr>
          <w:rFonts w:ascii="Times New Roman" w:hAnsi="Times New Roman" w:cs="Times New Roman"/>
          <w:sz w:val="24"/>
          <w:szCs w:val="24"/>
        </w:rPr>
        <w:t>89,0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A28C6">
        <w:rPr>
          <w:rFonts w:ascii="Times New Roman" w:hAnsi="Times New Roman" w:cs="Times New Roman"/>
          <w:sz w:val="24"/>
          <w:szCs w:val="24"/>
        </w:rPr>
        <w:t>.</w:t>
      </w:r>
      <w:r w:rsidR="00063062" w:rsidRPr="00063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1C52" w:rsidRDefault="001D05CC" w:rsidP="00A63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2020</w:t>
      </w:r>
      <w:r w:rsidR="00B01C52">
        <w:rPr>
          <w:rFonts w:ascii="Times New Roman" w:hAnsi="Times New Roman" w:cs="Times New Roman"/>
          <w:sz w:val="24"/>
          <w:szCs w:val="24"/>
        </w:rPr>
        <w:t xml:space="preserve">-2022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</w:t>
      </w:r>
      <w:r w:rsidR="00B01C52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B01C52">
        <w:rPr>
          <w:rFonts w:ascii="Times New Roman" w:hAnsi="Times New Roman" w:cs="Times New Roman"/>
          <w:sz w:val="24"/>
          <w:szCs w:val="24"/>
        </w:rPr>
        <w:t>запланиро</w:t>
      </w:r>
      <w:r w:rsidR="00E8664B">
        <w:rPr>
          <w:rFonts w:ascii="Times New Roman" w:hAnsi="Times New Roman" w:cs="Times New Roman"/>
          <w:sz w:val="24"/>
          <w:szCs w:val="24"/>
        </w:rPr>
        <w:t>-</w:t>
      </w:r>
      <w:r w:rsidR="00B01C52">
        <w:rPr>
          <w:rFonts w:ascii="Times New Roman" w:hAnsi="Times New Roman" w:cs="Times New Roman"/>
          <w:sz w:val="24"/>
          <w:szCs w:val="24"/>
        </w:rPr>
        <w:t>вано</w:t>
      </w:r>
      <w:proofErr w:type="spellEnd"/>
      <w:r w:rsidR="00B01C52">
        <w:rPr>
          <w:rFonts w:ascii="Times New Roman" w:hAnsi="Times New Roman" w:cs="Times New Roman"/>
          <w:sz w:val="24"/>
          <w:szCs w:val="24"/>
        </w:rPr>
        <w:t xml:space="preserve">   по </w:t>
      </w:r>
      <w:r w:rsidR="00E8664B">
        <w:rPr>
          <w:rFonts w:ascii="Times New Roman" w:hAnsi="Times New Roman" w:cs="Times New Roman"/>
          <w:sz w:val="24"/>
          <w:szCs w:val="24"/>
        </w:rPr>
        <w:t>37,0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 руб</w:t>
      </w:r>
      <w:r w:rsidR="00B01C52">
        <w:rPr>
          <w:rFonts w:ascii="Times New Roman" w:hAnsi="Times New Roman" w:cs="Times New Roman"/>
          <w:sz w:val="24"/>
          <w:szCs w:val="24"/>
        </w:rPr>
        <w:t xml:space="preserve">. ежегодно. Удельный вес налога </w:t>
      </w:r>
      <w:r w:rsidR="00E8664B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B01C52">
        <w:rPr>
          <w:rFonts w:ascii="Times New Roman" w:hAnsi="Times New Roman" w:cs="Times New Roman"/>
          <w:sz w:val="24"/>
          <w:szCs w:val="24"/>
        </w:rPr>
        <w:t>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E8664B">
        <w:rPr>
          <w:rFonts w:ascii="Times New Roman" w:hAnsi="Times New Roman" w:cs="Times New Roman"/>
          <w:sz w:val="24"/>
          <w:szCs w:val="24"/>
        </w:rPr>
        <w:t>3,2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от общей суммы предполагаемых собственных доходов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</w:p>
    <w:p w:rsidR="00B01C52" w:rsidRDefault="00B01C52" w:rsidP="00A63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E8664B">
        <w:rPr>
          <w:rFonts w:ascii="Times New Roman" w:hAnsi="Times New Roman" w:cs="Times New Roman"/>
          <w:sz w:val="24"/>
          <w:szCs w:val="24"/>
        </w:rPr>
        <w:t xml:space="preserve"> на уровне 2019 года в  сумме 245,0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86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Удельный вес налога 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</w:t>
      </w:r>
      <w:r w:rsidR="008C78F3">
        <w:rPr>
          <w:rFonts w:ascii="Times New Roman" w:hAnsi="Times New Roman" w:cs="Times New Roman"/>
          <w:sz w:val="24"/>
          <w:szCs w:val="24"/>
        </w:rPr>
        <w:t>1,</w:t>
      </w:r>
      <w:r w:rsidR="00E8664B">
        <w:rPr>
          <w:rFonts w:ascii="Times New Roman" w:hAnsi="Times New Roman" w:cs="Times New Roman"/>
          <w:sz w:val="24"/>
          <w:szCs w:val="24"/>
        </w:rPr>
        <w:t>5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64B" w:rsidRDefault="00B01C52" w:rsidP="00A632A6">
      <w:pPr>
        <w:pStyle w:val="10"/>
        <w:pBdr>
          <w:bottom w:val="none" w:sz="0" w:space="0" w:color="auto"/>
        </w:pBdr>
        <w:rPr>
          <w:lang w:eastAsia="ru-RU"/>
        </w:rPr>
      </w:pPr>
      <w:r>
        <w:t xml:space="preserve">На </w:t>
      </w:r>
      <w:r w:rsidRPr="00063062">
        <w:t xml:space="preserve"> 2021 год </w:t>
      </w:r>
      <w:r>
        <w:t xml:space="preserve">поступление запланировано </w:t>
      </w:r>
      <w:r w:rsidR="00E8664B">
        <w:t xml:space="preserve">с приростом к  2020 году на 3,0 тыс. руб. и составит 248,0 </w:t>
      </w:r>
      <w:r w:rsidR="00063062" w:rsidRPr="00063062">
        <w:t xml:space="preserve"> тыс. рублей, на 2022 год - </w:t>
      </w:r>
      <w:r w:rsidR="007416D1">
        <w:t>2</w:t>
      </w:r>
      <w:r w:rsidR="00E8664B">
        <w:t>50,0</w:t>
      </w:r>
      <w:r w:rsidR="00063062" w:rsidRPr="00063062">
        <w:t xml:space="preserve"> тыс. рублей. </w:t>
      </w:r>
      <w:r w:rsidR="00BF3190" w:rsidRPr="003B0526">
        <w:rPr>
          <w:lang w:eastAsia="ru-RU"/>
        </w:rPr>
        <w:t xml:space="preserve">  </w:t>
      </w:r>
    </w:p>
    <w:p w:rsidR="00BF3190" w:rsidRPr="003B0526" w:rsidRDefault="00E8664B" w:rsidP="00A632A6">
      <w:pPr>
        <w:pStyle w:val="10"/>
        <w:pBdr>
          <w:bottom w:val="none" w:sz="0" w:space="0" w:color="auto"/>
        </w:pBdr>
        <w:rPr>
          <w:lang w:eastAsia="ru-RU"/>
        </w:rPr>
      </w:pPr>
      <w:r w:rsidRPr="00E8664B">
        <w:rPr>
          <w:b/>
          <w:lang w:eastAsia="ru-RU"/>
        </w:rPr>
        <w:t>Госпошлина</w:t>
      </w:r>
      <w:r>
        <w:rPr>
          <w:lang w:eastAsia="ru-RU"/>
        </w:rPr>
        <w:t xml:space="preserve"> планируется по 2,0 тыс. руб. ежегодно.</w:t>
      </w:r>
      <w:r w:rsidR="00BF3190">
        <w:rPr>
          <w:lang w:eastAsia="ru-RU"/>
        </w:rPr>
        <w:t xml:space="preserve">                  </w:t>
      </w:r>
    </w:p>
    <w:p w:rsidR="00352690" w:rsidRDefault="00BF3190" w:rsidP="00281C8B">
      <w:pPr>
        <w:pStyle w:val="10"/>
        <w:pBdr>
          <w:bottom w:val="none" w:sz="0" w:space="0" w:color="auto"/>
        </w:pBdr>
        <w:spacing w:before="240"/>
        <w:rPr>
          <w:lang w:eastAsia="ru-RU"/>
        </w:rPr>
      </w:pPr>
      <w:r>
        <w:rPr>
          <w:lang w:eastAsia="ru-RU"/>
        </w:rPr>
        <w:t xml:space="preserve">   </w:t>
      </w:r>
      <w:r w:rsidRPr="00CE37C2">
        <w:rPr>
          <w:b/>
          <w:lang w:eastAsia="ru-RU"/>
        </w:rPr>
        <w:t>Неналоговые доходы</w:t>
      </w:r>
      <w:r w:rsidRPr="00CE37C2">
        <w:rPr>
          <w:lang w:eastAsia="ru-RU"/>
        </w:rPr>
        <w:t xml:space="preserve"> в бюджет  </w:t>
      </w:r>
      <w:r w:rsidR="00B408B3">
        <w:rPr>
          <w:lang w:eastAsia="ru-RU"/>
        </w:rPr>
        <w:t>Большеабакасинского</w:t>
      </w:r>
      <w:r w:rsidR="0050100A" w:rsidRPr="00CE37C2">
        <w:rPr>
          <w:lang w:eastAsia="ru-RU"/>
        </w:rPr>
        <w:t xml:space="preserve"> </w:t>
      </w:r>
      <w:r w:rsidRPr="00CE37C2">
        <w:rPr>
          <w:lang w:eastAsia="ru-RU"/>
        </w:rPr>
        <w:t xml:space="preserve">сельского поселения на </w:t>
      </w:r>
      <w:r w:rsidR="00F922DD">
        <w:rPr>
          <w:lang w:eastAsia="ru-RU"/>
        </w:rPr>
        <w:t>2020</w:t>
      </w:r>
      <w:r>
        <w:rPr>
          <w:lang w:eastAsia="ru-RU"/>
        </w:rPr>
        <w:t xml:space="preserve"> </w:t>
      </w:r>
      <w:r w:rsidRPr="00CE37C2">
        <w:rPr>
          <w:lang w:eastAsia="ru-RU"/>
        </w:rPr>
        <w:t xml:space="preserve"> год предусмотрены в объеме </w:t>
      </w:r>
      <w:r w:rsidR="00E8664B">
        <w:rPr>
          <w:lang w:eastAsia="ru-RU"/>
        </w:rPr>
        <w:t>285,0</w:t>
      </w:r>
      <w:r>
        <w:rPr>
          <w:lang w:eastAsia="ru-RU"/>
        </w:rPr>
        <w:t xml:space="preserve"> </w:t>
      </w:r>
      <w:r w:rsidRPr="00CE37C2">
        <w:rPr>
          <w:lang w:eastAsia="ru-RU"/>
        </w:rPr>
        <w:t xml:space="preserve">тыс. рублей, что </w:t>
      </w:r>
      <w:r w:rsidR="00352690">
        <w:rPr>
          <w:lang w:eastAsia="ru-RU"/>
        </w:rPr>
        <w:t xml:space="preserve">составляет </w:t>
      </w:r>
      <w:r w:rsidRPr="00CE37C2">
        <w:rPr>
          <w:lang w:eastAsia="ru-RU"/>
        </w:rPr>
        <w:t xml:space="preserve">на </w:t>
      </w:r>
      <w:r w:rsidR="00E8664B">
        <w:rPr>
          <w:lang w:eastAsia="ru-RU"/>
        </w:rPr>
        <w:t>94,6</w:t>
      </w:r>
      <w:r w:rsidR="00B06073">
        <w:rPr>
          <w:lang w:eastAsia="ru-RU"/>
        </w:rPr>
        <w:t xml:space="preserve">% </w:t>
      </w:r>
      <w:r w:rsidR="00352690">
        <w:rPr>
          <w:lang w:eastAsia="ru-RU"/>
        </w:rPr>
        <w:t xml:space="preserve"> к уровню  2019 года.</w:t>
      </w:r>
      <w:r w:rsidR="00B06073">
        <w:rPr>
          <w:lang w:eastAsia="ru-RU"/>
        </w:rPr>
        <w:t xml:space="preserve"> </w:t>
      </w:r>
    </w:p>
    <w:p w:rsidR="00BF3190" w:rsidRPr="00CE37C2" w:rsidRDefault="00352690" w:rsidP="00281C8B">
      <w:pPr>
        <w:pStyle w:val="10"/>
        <w:pBdr>
          <w:bottom w:val="none" w:sz="0" w:space="0" w:color="auto"/>
        </w:pBdr>
        <w:rPr>
          <w:lang w:eastAsia="ru-RU"/>
        </w:rPr>
      </w:pPr>
      <w:r>
        <w:rPr>
          <w:lang w:eastAsia="ru-RU"/>
        </w:rPr>
        <w:t xml:space="preserve">     </w:t>
      </w:r>
      <w:r w:rsidR="00B06073">
        <w:rPr>
          <w:lang w:eastAsia="ru-RU"/>
        </w:rPr>
        <w:t xml:space="preserve">На 2021 </w:t>
      </w:r>
      <w:r w:rsidR="00E8664B">
        <w:rPr>
          <w:lang w:eastAsia="ru-RU"/>
        </w:rPr>
        <w:t xml:space="preserve">и 2022 годы </w:t>
      </w:r>
      <w:r w:rsidR="00B06073">
        <w:rPr>
          <w:lang w:eastAsia="ru-RU"/>
        </w:rPr>
        <w:t xml:space="preserve">плановая сумма поступления доходов составит </w:t>
      </w:r>
      <w:r w:rsidR="00E8664B">
        <w:rPr>
          <w:lang w:eastAsia="ru-RU"/>
        </w:rPr>
        <w:t xml:space="preserve"> по 290,0</w:t>
      </w:r>
      <w:r w:rsidR="00B06073">
        <w:rPr>
          <w:lang w:eastAsia="ru-RU"/>
        </w:rPr>
        <w:t xml:space="preserve"> тыс. руб.</w:t>
      </w:r>
      <w:r w:rsidR="00E8664B">
        <w:rPr>
          <w:lang w:eastAsia="ru-RU"/>
        </w:rPr>
        <w:t xml:space="preserve"> ежегодно.</w:t>
      </w:r>
      <w:r w:rsidR="00B06073">
        <w:rPr>
          <w:lang w:eastAsia="ru-RU"/>
        </w:rPr>
        <w:t xml:space="preserve"> </w:t>
      </w:r>
    </w:p>
    <w:p w:rsidR="00352690" w:rsidRPr="00352690" w:rsidRDefault="00BF3190" w:rsidP="00281C8B">
      <w:pPr>
        <w:pStyle w:val="10"/>
        <w:pBdr>
          <w:bottom w:val="none" w:sz="0" w:space="0" w:color="auto"/>
        </w:pBdr>
      </w:pPr>
      <w:r w:rsidRPr="00352690">
        <w:rPr>
          <w:lang w:eastAsia="ru-RU"/>
        </w:rPr>
        <w:t xml:space="preserve">   </w:t>
      </w:r>
      <w:r w:rsidR="00352690" w:rsidRPr="00352690">
        <w:t xml:space="preserve">В составе неналоговых доходов </w:t>
      </w:r>
      <w:r w:rsidR="00B408B3">
        <w:t>Большеабакасинского</w:t>
      </w:r>
      <w:r w:rsidR="00352690" w:rsidRPr="00352690">
        <w:t xml:space="preserve"> сельского поселения на 2020 год и на плановый  период 2021 и 2022 годов планируются:</w:t>
      </w:r>
    </w:p>
    <w:p w:rsidR="00281C8B" w:rsidRDefault="00E8664B" w:rsidP="00281C8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8B">
        <w:rPr>
          <w:rFonts w:ascii="Times New Roman" w:hAnsi="Times New Roman" w:cs="Times New Roman"/>
          <w:sz w:val="24"/>
          <w:szCs w:val="24"/>
        </w:rPr>
        <w:t xml:space="preserve">- </w:t>
      </w:r>
      <w:r w:rsidRPr="00281C8B">
        <w:rPr>
          <w:rFonts w:ascii="Times New Roman" w:hAnsi="Times New Roman" w:cs="Times New Roman"/>
          <w:b/>
          <w:sz w:val="24"/>
          <w:szCs w:val="24"/>
        </w:rPr>
        <w:t>доходы, получаемые в виде арендной платы за земельные участки,</w:t>
      </w:r>
      <w:r w:rsidRPr="00281C8B">
        <w:rPr>
          <w:rFonts w:ascii="Times New Roman" w:hAnsi="Times New Roman" w:cs="Times New Roman"/>
          <w:sz w:val="24"/>
          <w:szCs w:val="24"/>
        </w:rPr>
        <w:t xml:space="preserve"> </w:t>
      </w:r>
      <w:r w:rsidRPr="00281C8B">
        <w:rPr>
          <w:rFonts w:ascii="Times New Roman" w:hAnsi="Times New Roman" w:cs="Times New Roman"/>
          <w:b/>
          <w:sz w:val="24"/>
          <w:szCs w:val="24"/>
        </w:rPr>
        <w:t>находящиеся в собственности поселений</w:t>
      </w:r>
      <w:r w:rsidRPr="00281C8B">
        <w:rPr>
          <w:rFonts w:ascii="Times New Roman" w:hAnsi="Times New Roman" w:cs="Times New Roman"/>
          <w:sz w:val="24"/>
          <w:szCs w:val="24"/>
        </w:rPr>
        <w:t xml:space="preserve"> в сумме 280,0 тыс. рублей или 24,6% от общей суммы предполагаемых собственных доходов,  на 2021 год – 285,0 тыс. рублей,  на 2022 год – 285,0 тыс. рублей</w:t>
      </w:r>
      <w:r w:rsidR="00281C8B">
        <w:rPr>
          <w:rFonts w:ascii="Times New Roman" w:hAnsi="Times New Roman" w:cs="Times New Roman"/>
          <w:sz w:val="24"/>
          <w:szCs w:val="24"/>
        </w:rPr>
        <w:t>;</w:t>
      </w:r>
    </w:p>
    <w:p w:rsidR="00281C8B" w:rsidRDefault="00E8664B" w:rsidP="00281C8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8B">
        <w:rPr>
          <w:rFonts w:ascii="Times New Roman" w:hAnsi="Times New Roman" w:cs="Times New Roman"/>
          <w:sz w:val="24"/>
          <w:szCs w:val="24"/>
        </w:rPr>
        <w:t xml:space="preserve">- </w:t>
      </w:r>
      <w:r w:rsidRPr="00281C8B">
        <w:rPr>
          <w:rFonts w:ascii="Times New Roman" w:hAnsi="Times New Roman" w:cs="Times New Roman"/>
          <w:b/>
          <w:sz w:val="24"/>
          <w:szCs w:val="24"/>
        </w:rPr>
        <w:t>доходы от сдачи в аренду имущества, находящегося в оперативном управлении органов управления поселений</w:t>
      </w:r>
      <w:r w:rsidRPr="00281C8B">
        <w:rPr>
          <w:rFonts w:ascii="Times New Roman" w:hAnsi="Times New Roman" w:cs="Times New Roman"/>
          <w:sz w:val="24"/>
          <w:szCs w:val="24"/>
        </w:rPr>
        <w:t xml:space="preserve"> в сумме 5,0 тыс. рублей или 0,4% от общей суммы предполагаемых собственных доходов, на 2021 год – 5,0 тыс. рублей, на 2022  год – 5,0 тыс. рублей</w:t>
      </w:r>
      <w:r w:rsidR="00281C8B" w:rsidRPr="00281C8B">
        <w:rPr>
          <w:rFonts w:ascii="Times New Roman" w:hAnsi="Times New Roman" w:cs="Times New Roman"/>
          <w:sz w:val="24"/>
          <w:szCs w:val="24"/>
        </w:rPr>
        <w:t>.</w:t>
      </w:r>
    </w:p>
    <w:p w:rsidR="00281C8B" w:rsidRDefault="000016BA" w:rsidP="00281C8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8B">
        <w:rPr>
          <w:rFonts w:ascii="Times New Roman" w:hAnsi="Times New Roman" w:cs="Times New Roman"/>
          <w:sz w:val="24"/>
          <w:szCs w:val="24"/>
        </w:rPr>
        <w:t xml:space="preserve">Удельный вес  неналоговых доходов  в  2020 году составит </w:t>
      </w:r>
      <w:r w:rsidR="00281C8B">
        <w:rPr>
          <w:rFonts w:ascii="Times New Roman" w:hAnsi="Times New Roman" w:cs="Times New Roman"/>
          <w:sz w:val="24"/>
          <w:szCs w:val="24"/>
        </w:rPr>
        <w:t>25,0</w:t>
      </w:r>
      <w:r w:rsidRPr="00281C8B">
        <w:rPr>
          <w:rFonts w:ascii="Times New Roman" w:hAnsi="Times New Roman" w:cs="Times New Roman"/>
          <w:sz w:val="24"/>
          <w:szCs w:val="24"/>
        </w:rPr>
        <w:t xml:space="preserve"> %, в 2021 году</w:t>
      </w:r>
      <w:r w:rsidR="00281C8B">
        <w:rPr>
          <w:rFonts w:ascii="Times New Roman" w:hAnsi="Times New Roman" w:cs="Times New Roman"/>
          <w:sz w:val="24"/>
          <w:szCs w:val="24"/>
        </w:rPr>
        <w:t xml:space="preserve"> </w:t>
      </w:r>
      <w:r w:rsidRPr="00281C8B">
        <w:rPr>
          <w:rFonts w:ascii="Times New Roman" w:hAnsi="Times New Roman" w:cs="Times New Roman"/>
          <w:sz w:val="24"/>
          <w:szCs w:val="24"/>
        </w:rPr>
        <w:t>-</w:t>
      </w:r>
      <w:r w:rsidR="00281C8B">
        <w:rPr>
          <w:rFonts w:ascii="Times New Roman" w:hAnsi="Times New Roman" w:cs="Times New Roman"/>
          <w:sz w:val="24"/>
          <w:szCs w:val="24"/>
        </w:rPr>
        <w:t>25,3</w:t>
      </w:r>
      <w:r w:rsidRPr="00281C8B">
        <w:rPr>
          <w:rFonts w:ascii="Times New Roman" w:hAnsi="Times New Roman" w:cs="Times New Roman"/>
          <w:sz w:val="24"/>
          <w:szCs w:val="24"/>
        </w:rPr>
        <w:t xml:space="preserve">%, в 2022 году- </w:t>
      </w:r>
      <w:r w:rsidR="00281C8B">
        <w:rPr>
          <w:rFonts w:ascii="Times New Roman" w:hAnsi="Times New Roman" w:cs="Times New Roman"/>
          <w:sz w:val="24"/>
          <w:szCs w:val="24"/>
        </w:rPr>
        <w:t>25,2</w:t>
      </w:r>
      <w:r w:rsidRPr="00281C8B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81C8B" w:rsidRPr="00281C8B" w:rsidRDefault="00BF3190" w:rsidP="00281C8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8B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281C8B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F53694" w:rsidRPr="00281C8B">
        <w:rPr>
          <w:rFonts w:ascii="Times New Roman" w:hAnsi="Times New Roman" w:cs="Times New Roman"/>
          <w:sz w:val="24"/>
          <w:szCs w:val="24"/>
        </w:rPr>
        <w:t>Ибресинского</w:t>
      </w:r>
      <w:r w:rsidRPr="00281C8B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="00F922DD" w:rsidRPr="00281C8B">
        <w:rPr>
          <w:rFonts w:ascii="Times New Roman" w:hAnsi="Times New Roman" w:cs="Times New Roman"/>
          <w:sz w:val="24"/>
          <w:szCs w:val="24"/>
        </w:rPr>
        <w:t>2020</w:t>
      </w:r>
      <w:r w:rsidRPr="00281C8B">
        <w:rPr>
          <w:rFonts w:ascii="Times New Roman" w:hAnsi="Times New Roman" w:cs="Times New Roman"/>
          <w:sz w:val="24"/>
          <w:szCs w:val="24"/>
        </w:rPr>
        <w:t xml:space="preserve"> году планируются в объеме </w:t>
      </w:r>
      <w:r w:rsidR="00281C8B" w:rsidRPr="00281C8B">
        <w:rPr>
          <w:rFonts w:ascii="Times New Roman" w:hAnsi="Times New Roman" w:cs="Times New Roman"/>
          <w:sz w:val="24"/>
          <w:szCs w:val="24"/>
        </w:rPr>
        <w:t xml:space="preserve">3324,1 тыс.  рублей, что на 449,3 тыс. руб., или 15,6 % больше запланированных объемов  поступления 2019 года. Удельный вес составляет   74,5%  общей суммы доходов бюджета поселения. На 2021 год  планируется 2067,6 тыс. рублей, на 2022 год – 2298,2 тыс. рублей. </w:t>
      </w:r>
    </w:p>
    <w:p w:rsidR="00281C8B" w:rsidRPr="00281C8B" w:rsidRDefault="00281C8B" w:rsidP="00281C8B">
      <w:pPr>
        <w:pBdr>
          <w:bottom w:val="single" w:sz="12" w:space="2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8B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281C8B"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 w:rsidRPr="00281C8B">
        <w:rPr>
          <w:rFonts w:ascii="Times New Roman" w:hAnsi="Times New Roman" w:cs="Times New Roman"/>
          <w:sz w:val="24"/>
          <w:szCs w:val="24"/>
        </w:rPr>
        <w:t xml:space="preserve"> планируются:                                                            - </w:t>
      </w:r>
      <w:r w:rsidRPr="00281C8B">
        <w:rPr>
          <w:rFonts w:ascii="Times New Roman" w:hAnsi="Times New Roman" w:cs="Times New Roman"/>
          <w:b/>
          <w:sz w:val="24"/>
          <w:szCs w:val="24"/>
        </w:rPr>
        <w:t>дотации на выравнивание бюджетной обеспеченности</w:t>
      </w:r>
      <w:r w:rsidR="004A0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7C0" w:rsidRPr="004A07C0">
        <w:rPr>
          <w:rFonts w:ascii="Times New Roman" w:hAnsi="Times New Roman" w:cs="Times New Roman"/>
          <w:sz w:val="24"/>
          <w:szCs w:val="24"/>
        </w:rPr>
        <w:t>на 2020 год</w:t>
      </w:r>
      <w:r w:rsidR="004A0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C8B">
        <w:rPr>
          <w:rFonts w:ascii="Times New Roman" w:hAnsi="Times New Roman" w:cs="Times New Roman"/>
          <w:sz w:val="24"/>
          <w:szCs w:val="24"/>
        </w:rPr>
        <w:t xml:space="preserve"> в сумме 1570,0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281C8B">
        <w:rPr>
          <w:rFonts w:ascii="Times New Roman" w:hAnsi="Times New Roman" w:cs="Times New Roman"/>
          <w:sz w:val="24"/>
          <w:szCs w:val="24"/>
        </w:rPr>
        <w:t xml:space="preserve"> или 47,2% от общей суммы предполагаемых безвозмездных поступлений, на 2021 год – 1414,0 тыс. рублей, на 2022  год – 1380,0 тыс. рублей</w:t>
      </w:r>
    </w:p>
    <w:p w:rsidR="00281C8B" w:rsidRPr="00281C8B" w:rsidRDefault="00281C8B" w:rsidP="00281C8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8B">
        <w:rPr>
          <w:rFonts w:ascii="Times New Roman" w:hAnsi="Times New Roman" w:cs="Times New Roman"/>
          <w:sz w:val="24"/>
          <w:szCs w:val="24"/>
        </w:rPr>
        <w:t xml:space="preserve">- </w:t>
      </w:r>
      <w:r w:rsidRPr="00281C8B">
        <w:rPr>
          <w:rFonts w:ascii="Times New Roman" w:hAnsi="Times New Roman" w:cs="Times New Roman"/>
          <w:b/>
          <w:sz w:val="24"/>
          <w:szCs w:val="24"/>
        </w:rPr>
        <w:t>субсидии бюджетам поселений</w:t>
      </w:r>
      <w:r w:rsidRPr="00281C8B">
        <w:rPr>
          <w:rFonts w:ascii="Times New Roman" w:hAnsi="Times New Roman" w:cs="Times New Roman"/>
          <w:sz w:val="24"/>
          <w:szCs w:val="24"/>
        </w:rPr>
        <w:t xml:space="preserve"> в сумме 1664,8 тыс. рублей или 50,1% от общей суммы предполагаемых безвозмездных поступлений, на 2021 год – 563,5 тыс. рублей, на 2022 год – 824,4 тыс. рублей. В составе субсидий прогнозируются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</w:r>
    </w:p>
    <w:p w:rsidR="00BA28C6" w:rsidRDefault="00281C8B" w:rsidP="00BA28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8B">
        <w:rPr>
          <w:rFonts w:ascii="Times New Roman" w:hAnsi="Times New Roman" w:cs="Times New Roman"/>
          <w:sz w:val="24"/>
          <w:szCs w:val="24"/>
        </w:rPr>
        <w:t xml:space="preserve">- </w:t>
      </w:r>
      <w:r w:rsidRPr="00281C8B">
        <w:rPr>
          <w:rFonts w:ascii="Times New Roman" w:hAnsi="Times New Roman" w:cs="Times New Roman"/>
          <w:b/>
          <w:sz w:val="24"/>
          <w:szCs w:val="24"/>
        </w:rPr>
        <w:t>субвенции</w:t>
      </w:r>
      <w:r w:rsidRPr="00281C8B">
        <w:rPr>
          <w:rFonts w:ascii="Times New Roman" w:hAnsi="Times New Roman" w:cs="Times New Roman"/>
          <w:sz w:val="24"/>
          <w:szCs w:val="24"/>
        </w:rPr>
        <w:t xml:space="preserve"> в сумме 89,3 тыс. рублей или 2,7% от общей суммы предполагаемых безвозмездных поступлений, на 2021 год – 90,1 тыс. рублей, на 2022 год – 93,1 тыс. рублей. В составе субвенций прогнозируются субвенции на осуществление первичного воинского учета на территориях, где отсутствуют военные комиссариаты.</w:t>
      </w:r>
    </w:p>
    <w:p w:rsidR="00BA28C6" w:rsidRDefault="000016BA" w:rsidP="00BA28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C6">
        <w:rPr>
          <w:rFonts w:ascii="Times New Roman" w:hAnsi="Times New Roman" w:cs="Times New Roman"/>
          <w:b/>
          <w:sz w:val="24"/>
          <w:szCs w:val="24"/>
        </w:rPr>
        <w:t>- дотации на выравнивание бюджетной обеспеченности</w:t>
      </w:r>
      <w:r w:rsidRPr="00BA28C6">
        <w:rPr>
          <w:rFonts w:ascii="Times New Roman" w:hAnsi="Times New Roman" w:cs="Times New Roman"/>
          <w:sz w:val="24"/>
          <w:szCs w:val="24"/>
        </w:rPr>
        <w:t xml:space="preserve">  на 2020 год в сумме   2085,0 тыс. рублей или 77,5% от общей суммы предполагаемых безвозмездных поступлений, на 2021 год – 1882,2 тыс. рублей, на 2022 год- 1829,3 тыс. рублей</w:t>
      </w:r>
      <w:r w:rsidR="00BA28C6">
        <w:rPr>
          <w:rFonts w:ascii="Times New Roman" w:hAnsi="Times New Roman" w:cs="Times New Roman"/>
          <w:sz w:val="24"/>
          <w:szCs w:val="24"/>
        </w:rPr>
        <w:t>;</w:t>
      </w:r>
    </w:p>
    <w:p w:rsidR="00BA28C6" w:rsidRDefault="000016BA" w:rsidP="00BA28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C6">
        <w:rPr>
          <w:rFonts w:ascii="Times New Roman" w:hAnsi="Times New Roman" w:cs="Times New Roman"/>
          <w:b/>
          <w:sz w:val="24"/>
          <w:szCs w:val="24"/>
        </w:rPr>
        <w:t>- субсидии бюджетам поселений</w:t>
      </w:r>
      <w:r w:rsidRPr="00BA28C6">
        <w:rPr>
          <w:rFonts w:ascii="Times New Roman" w:hAnsi="Times New Roman" w:cs="Times New Roman"/>
          <w:sz w:val="24"/>
          <w:szCs w:val="24"/>
        </w:rPr>
        <w:t xml:space="preserve">  на 2020 год в сумме 516,3 тыс. рублей или 19,2% от общей суммы предполагаемых безвозмездных поступлений, на 2021 год- 515,1 тыс. рублей, на 2022 год – 753,6 тыс. рублей; </w:t>
      </w:r>
    </w:p>
    <w:p w:rsidR="00BA28C6" w:rsidRDefault="000016BA" w:rsidP="00BA28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C6">
        <w:rPr>
          <w:rFonts w:ascii="Times New Roman" w:hAnsi="Times New Roman" w:cs="Times New Roman"/>
          <w:b/>
          <w:sz w:val="24"/>
          <w:szCs w:val="24"/>
        </w:rPr>
        <w:t>- субвенции</w:t>
      </w:r>
      <w:r w:rsidRPr="00BA28C6">
        <w:rPr>
          <w:rFonts w:ascii="Times New Roman" w:hAnsi="Times New Roman" w:cs="Times New Roman"/>
          <w:sz w:val="24"/>
          <w:szCs w:val="24"/>
        </w:rPr>
        <w:t xml:space="preserve">  на 2020 год в сумме 89,3 тыс. рублей или 3,3 % от общей суммы предполагаемых безвозмездных поступлений, на 2021 год – 90,1 тыс. рублей, на 2022 год- 93,8 тыс. рублей. В составе субвенций прогнозируются субвенции на осуществление первичного воинского учета на территориях, где отсутствуют военные комиссариаты</w:t>
      </w:r>
      <w:r w:rsidR="006337F9" w:rsidRPr="00BA28C6">
        <w:rPr>
          <w:rFonts w:ascii="Times New Roman" w:hAnsi="Times New Roman" w:cs="Times New Roman"/>
          <w:sz w:val="24"/>
          <w:szCs w:val="24"/>
        </w:rPr>
        <w:t>.</w:t>
      </w:r>
    </w:p>
    <w:p w:rsidR="00BA28C6" w:rsidRDefault="00BF3190" w:rsidP="00BA28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BA28C6">
        <w:rPr>
          <w:rFonts w:ascii="Times New Roman" w:hAnsi="Times New Roman" w:cs="Times New Roman"/>
          <w:sz w:val="24"/>
          <w:szCs w:val="24"/>
        </w:rPr>
        <w:t xml:space="preserve">     Доля безвозмездных поступлений в доходах бюджета </w:t>
      </w:r>
      <w:r w:rsidR="00B408B3" w:rsidRPr="00BA28C6">
        <w:rPr>
          <w:rFonts w:ascii="Times New Roman" w:hAnsi="Times New Roman" w:cs="Times New Roman"/>
          <w:sz w:val="24"/>
          <w:szCs w:val="24"/>
        </w:rPr>
        <w:t>Большеабакасинского</w:t>
      </w:r>
      <w:r w:rsidR="0050100A" w:rsidRPr="00BA28C6">
        <w:rPr>
          <w:rFonts w:ascii="Times New Roman" w:hAnsi="Times New Roman" w:cs="Times New Roman"/>
          <w:sz w:val="24"/>
          <w:szCs w:val="24"/>
        </w:rPr>
        <w:t xml:space="preserve"> </w:t>
      </w:r>
      <w:r w:rsidRPr="00BA28C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поселения в </w:t>
      </w:r>
      <w:r w:rsidR="00F922DD"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2020</w:t>
      </w:r>
      <w:r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году составит </w:t>
      </w:r>
      <w:r w:rsidR="004A07C0"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74,5</w:t>
      </w:r>
      <w:r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%</w:t>
      </w:r>
      <w:r w:rsidR="00692FE0"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, в </w:t>
      </w:r>
      <w:r w:rsidR="00F922DD"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2021</w:t>
      </w:r>
      <w:r w:rsidR="00F76924"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году </w:t>
      </w:r>
      <w:r w:rsidR="00692FE0"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-</w:t>
      </w:r>
      <w:r w:rsidR="00F76924"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="004A07C0"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64,3</w:t>
      </w:r>
      <w:r w:rsidR="00F76924"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%, в </w:t>
      </w:r>
      <w:r w:rsidR="00F922DD"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2022</w:t>
      </w:r>
      <w:r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год</w:t>
      </w:r>
      <w:r w:rsidR="00F76924"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у</w:t>
      </w:r>
      <w:r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– </w:t>
      </w:r>
      <w:r w:rsidR="005E1E5C"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6</w:t>
      </w:r>
      <w:r w:rsidR="004A07C0"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6,6</w:t>
      </w:r>
      <w:r w:rsidRPr="00BA28C6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%.</w:t>
      </w:r>
    </w:p>
    <w:p w:rsidR="00BA28C6" w:rsidRDefault="00BA28C6" w:rsidP="00BA28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BA28C6" w:rsidRDefault="00BF3190" w:rsidP="00BA28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r w:rsidR="00B40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Большеабакасинского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71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  <w:r w:rsidR="00BA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A28C6" w:rsidRDefault="00BA28C6" w:rsidP="00BA28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8C6" w:rsidRDefault="00BF3190" w:rsidP="00BA28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основным приоритетным направлениям развития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постановлению администрации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634331" w:rsidRPr="00DB41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B41C9" w:rsidRPr="00DB41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4331" w:rsidRPr="00DB41C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B41C9" w:rsidRPr="00DB41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7499" w:rsidRPr="00DB4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2DD" w:rsidRPr="00DB41C9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DB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направлениях бюджетной политики 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направлены на 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 </w:t>
      </w:r>
    </w:p>
    <w:p w:rsidR="00BA28C6" w:rsidRDefault="00BF3190" w:rsidP="00BA28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7B6F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8C6" w:rsidRDefault="00E07A83" w:rsidP="00BA28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BA28C6" w:rsidRDefault="00E07A83" w:rsidP="00BA28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BA28C6" w:rsidRDefault="00BF3190" w:rsidP="00BA28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показателями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8C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величатся на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3B3">
        <w:rPr>
          <w:rFonts w:ascii="Times New Roman" w:eastAsia="Times New Roman" w:hAnsi="Times New Roman" w:cs="Times New Roman"/>
          <w:sz w:val="24"/>
          <w:szCs w:val="24"/>
          <w:lang w:eastAsia="ru-RU"/>
        </w:rPr>
        <w:t>270,9</w:t>
      </w:r>
      <w:r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</w:t>
      </w:r>
      <w:r w:rsid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3B3">
        <w:rPr>
          <w:rFonts w:ascii="Times New Roman" w:eastAsia="Times New Roman" w:hAnsi="Times New Roman" w:cs="Times New Roman"/>
          <w:sz w:val="24"/>
          <w:szCs w:val="24"/>
          <w:lang w:eastAsia="ru-RU"/>
        </w:rPr>
        <w:t>6,5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,и составят </w:t>
      </w:r>
      <w:r w:rsidR="008C73B3">
        <w:rPr>
          <w:rFonts w:ascii="Times New Roman" w:eastAsia="Times New Roman" w:hAnsi="Times New Roman" w:cs="Times New Roman"/>
          <w:sz w:val="24"/>
          <w:szCs w:val="24"/>
          <w:lang w:eastAsia="ru-RU"/>
        </w:rPr>
        <w:t>4463,7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839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</w:t>
      </w:r>
      <w:r w:rsidR="00E07A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2218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</w:t>
      </w:r>
      <w:r w:rsidR="000839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DA9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1249,7</w:t>
      </w:r>
      <w:r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0839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28,0</w:t>
      </w:r>
      <w:r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DA9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составят </w:t>
      </w:r>
      <w:r w:rsidR="000839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3214,0</w:t>
      </w:r>
      <w:r w:rsidR="000839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07A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07A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0839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DA9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расходов составит </w:t>
      </w:r>
      <w:r w:rsidR="00272218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 w:rsidR="00E07A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26DA9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2218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7,4</w:t>
      </w:r>
      <w:r w:rsidR="00E07A8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4252B" w:rsidRDefault="00BF3190" w:rsidP="00BA28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динамика расходов бюджета </w:t>
      </w:r>
      <w:r w:rsidR="00B408B3" w:rsidRP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данными: </w:t>
      </w:r>
    </w:p>
    <w:p w:rsidR="00BA28C6" w:rsidRDefault="00BA28C6" w:rsidP="00BA28C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2C0" w:rsidRPr="0074252B" w:rsidRDefault="00B232C0" w:rsidP="007425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1" w:type="dxa"/>
        <w:tblInd w:w="108" w:type="dxa"/>
        <w:tblLayout w:type="fixed"/>
        <w:tblLook w:val="01E0"/>
      </w:tblPr>
      <w:tblGrid>
        <w:gridCol w:w="2127"/>
        <w:gridCol w:w="567"/>
        <w:gridCol w:w="1275"/>
        <w:gridCol w:w="851"/>
        <w:gridCol w:w="1134"/>
        <w:gridCol w:w="992"/>
        <w:gridCol w:w="992"/>
        <w:gridCol w:w="851"/>
        <w:gridCol w:w="992"/>
      </w:tblGrid>
      <w:tr w:rsidR="00691CFC" w:rsidRPr="00A322B9" w:rsidTr="004C7C1F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</w:p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</w:p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4C7C1F" w:rsidRDefault="00F922DD" w:rsidP="004E721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2019</w:t>
            </w:r>
            <w:r w:rsidR="00691CFC" w:rsidRPr="004C7C1F">
              <w:rPr>
                <w:sz w:val="22"/>
                <w:szCs w:val="22"/>
              </w:rPr>
              <w:t xml:space="preserve"> год (</w:t>
            </w:r>
            <w:r w:rsidR="004E7214" w:rsidRPr="004C7C1F">
              <w:rPr>
                <w:sz w:val="22"/>
                <w:szCs w:val="22"/>
              </w:rPr>
              <w:t>решение о бюджете</w:t>
            </w:r>
            <w:r w:rsidR="00691CFC" w:rsidRPr="004C7C1F">
              <w:rPr>
                <w:sz w:val="22"/>
                <w:szCs w:val="22"/>
              </w:rPr>
              <w:t>), тыс. руб.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Проект бюджета на:</w:t>
            </w:r>
          </w:p>
        </w:tc>
      </w:tr>
      <w:tr w:rsidR="00691CFC" w:rsidRPr="00A322B9" w:rsidTr="004C7C1F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4C7C1F" w:rsidRDefault="00F922DD" w:rsidP="00655DFD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2020</w:t>
            </w:r>
            <w:r w:rsidR="00691CFC" w:rsidRPr="004C7C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4C7C1F" w:rsidRDefault="00F922DD" w:rsidP="00655DFD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2021</w:t>
            </w:r>
            <w:r w:rsidR="00691CFC" w:rsidRPr="004C7C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4C7C1F" w:rsidRDefault="00F922DD" w:rsidP="00655DFD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2022</w:t>
            </w:r>
            <w:r w:rsidR="00691CFC" w:rsidRPr="004C7C1F">
              <w:rPr>
                <w:sz w:val="22"/>
                <w:szCs w:val="22"/>
              </w:rPr>
              <w:t xml:space="preserve"> год</w:t>
            </w:r>
          </w:p>
        </w:tc>
      </w:tr>
      <w:tr w:rsidR="00691CFC" w:rsidRPr="00A322B9" w:rsidTr="004C7C1F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4C7C1F" w:rsidRDefault="00655DFD" w:rsidP="00655DFD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</w:t>
            </w:r>
            <w:r w:rsidR="00691CFC" w:rsidRPr="004C7C1F">
              <w:rPr>
                <w:sz w:val="22"/>
                <w:szCs w:val="22"/>
              </w:rPr>
              <w:t>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доля в общем объеме расходов,%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доля в общем объеме расходов,%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FC" w:rsidRPr="004C7C1F" w:rsidRDefault="00691CFC" w:rsidP="00655DFD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доля в общем объеме расходов,%</w:t>
            </w:r>
          </w:p>
        </w:tc>
      </w:tr>
      <w:tr w:rsidR="004D7DD9" w:rsidRPr="00A322B9" w:rsidTr="004C7C1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Pr="00083983" w:rsidRDefault="004D7DD9" w:rsidP="00070853">
            <w:pPr>
              <w:jc w:val="both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083983" w:rsidRDefault="004D7DD9" w:rsidP="005C08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4D7DD9" w:rsidRPr="00A322B9" w:rsidTr="004C7C1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Pr="00083983" w:rsidRDefault="004D7DD9" w:rsidP="00691CFC">
            <w:pPr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083983" w:rsidRDefault="004D7DD9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D7DD9" w:rsidRPr="00A322B9" w:rsidTr="004C7C1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Pr="00A322B9" w:rsidRDefault="004D7DD9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 w:rsidP="005C08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</w:tr>
      <w:tr w:rsidR="004D7DD9" w:rsidRPr="00A322B9" w:rsidTr="004C7C1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Pr="00083983" w:rsidRDefault="004D7DD9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083983" w:rsidRDefault="004D7DD9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7DD9" w:rsidRPr="00A322B9" w:rsidTr="004C7C1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Pr="00A322B9" w:rsidRDefault="004D7DD9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4D7DD9" w:rsidRPr="00A322B9" w:rsidTr="004C7C1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Pr="00083983" w:rsidRDefault="004D7DD9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083983" w:rsidRDefault="004D7DD9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D7DD9" w:rsidRPr="00A322B9" w:rsidTr="004C7C1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Pr="00A322B9" w:rsidRDefault="004D7DD9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</w:t>
            </w:r>
          </w:p>
        </w:tc>
      </w:tr>
      <w:tr w:rsidR="004D7DD9" w:rsidRPr="00A322B9" w:rsidTr="004C7C1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Pr="00083983" w:rsidRDefault="004D7DD9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083983" w:rsidRDefault="004D7DD9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D7DD9" w:rsidRPr="00A322B9" w:rsidTr="004C7C1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Pr="00A322B9" w:rsidRDefault="004D7DD9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</w:tr>
      <w:tr w:rsidR="004D7DD9" w:rsidRPr="00A322B9" w:rsidTr="004C7C1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Pr="00083983" w:rsidRDefault="004D7DD9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083983" w:rsidRDefault="004D7DD9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3593,8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D7DD9" w:rsidRPr="00A322B9" w:rsidTr="004C7C1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Pr="00A322B9" w:rsidRDefault="004D7DD9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</w:t>
            </w:r>
          </w:p>
        </w:tc>
      </w:tr>
      <w:tr w:rsidR="004D7DD9" w:rsidRPr="00A322B9" w:rsidTr="004C7C1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Pr="00083983" w:rsidRDefault="004D7DD9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083983" w:rsidRDefault="004D7DD9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D7DD9" w:rsidRPr="00A322B9" w:rsidTr="004C7C1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Pr="00A322B9" w:rsidRDefault="004D7DD9" w:rsidP="00070853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 w:rsidP="0007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7DD9" w:rsidRPr="00A322B9" w:rsidTr="004C7C1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9" w:rsidRPr="00083983" w:rsidRDefault="004D7DD9" w:rsidP="00070853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083983" w:rsidRDefault="004D7DD9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D7DD9" w:rsidRPr="00A322B9" w:rsidTr="004C7C1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A322B9" w:rsidRDefault="004D7DD9" w:rsidP="00F922DD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A322B9" w:rsidRDefault="004D7DD9" w:rsidP="00070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7DD9" w:rsidRPr="00083983" w:rsidTr="004C7C1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083983" w:rsidRDefault="004D7DD9" w:rsidP="00F922DD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Pr="00083983" w:rsidRDefault="004D7DD9" w:rsidP="0007085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9" w:rsidRDefault="004D7DD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426DA9" w:rsidP="00A632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5A7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у</w:t>
      </w:r>
      <w:r w:rsidR="005A7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</w:t>
      </w:r>
      <w:r w:rsid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>29,0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составят 1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>113,4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426DA9" w:rsidP="00A632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по данному разделу на плановый период 2021 и 2021 годы прогнозируются 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1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>074,1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993,3 тыс. руб. соответственно.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A632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– 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>24,9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– 3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F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>28,8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81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976" w:rsidRPr="00B72976" w:rsidRDefault="00B72976" w:rsidP="00A632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76">
        <w:rPr>
          <w:rFonts w:ascii="Times New Roman" w:hAnsi="Times New Roman" w:cs="Times New Roman"/>
          <w:sz w:val="24"/>
          <w:szCs w:val="24"/>
        </w:rPr>
        <w:t>Бюджетные ассигнования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</w:t>
      </w:r>
      <w:r w:rsidRPr="00B72976">
        <w:rPr>
          <w:rFonts w:ascii="Times New Roman" w:hAnsi="Times New Roman" w:cs="Times New Roman"/>
          <w:b/>
          <w:sz w:val="24"/>
          <w:szCs w:val="24"/>
        </w:rPr>
        <w:t>одраздел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72976">
        <w:rPr>
          <w:rFonts w:ascii="Times New Roman" w:hAnsi="Times New Roman" w:cs="Times New Roman"/>
          <w:b/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B72976">
        <w:rPr>
          <w:rFonts w:ascii="Times New Roman" w:hAnsi="Times New Roman" w:cs="Times New Roman"/>
          <w:sz w:val="24"/>
          <w:szCs w:val="24"/>
        </w:rPr>
        <w:t xml:space="preserve">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на 2020 год  в сумме </w:t>
      </w:r>
      <w:r w:rsidR="004C1B7B">
        <w:rPr>
          <w:rFonts w:ascii="Times New Roman" w:hAnsi="Times New Roman" w:cs="Times New Roman"/>
          <w:sz w:val="24"/>
          <w:szCs w:val="24"/>
        </w:rPr>
        <w:t>887,7</w:t>
      </w:r>
      <w:r w:rsidRPr="00B7297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C1B7B">
        <w:rPr>
          <w:rFonts w:ascii="Times New Roman" w:hAnsi="Times New Roman" w:cs="Times New Roman"/>
          <w:sz w:val="24"/>
          <w:szCs w:val="24"/>
        </w:rPr>
        <w:t>19,9</w:t>
      </w:r>
      <w:r w:rsidRPr="00B72976">
        <w:rPr>
          <w:rFonts w:ascii="Times New Roman" w:hAnsi="Times New Roman" w:cs="Times New Roman"/>
          <w:sz w:val="24"/>
          <w:szCs w:val="24"/>
        </w:rPr>
        <w:t xml:space="preserve">% от общей суммы прогнозируемых расходов, на 2021 год – </w:t>
      </w:r>
      <w:r w:rsidR="004C1B7B">
        <w:rPr>
          <w:rFonts w:ascii="Times New Roman" w:hAnsi="Times New Roman" w:cs="Times New Roman"/>
          <w:sz w:val="24"/>
          <w:szCs w:val="24"/>
        </w:rPr>
        <w:t>875,9</w:t>
      </w:r>
      <w:r w:rsidRPr="00B72976">
        <w:rPr>
          <w:rFonts w:ascii="Times New Roman" w:hAnsi="Times New Roman" w:cs="Times New Roman"/>
          <w:sz w:val="24"/>
          <w:szCs w:val="24"/>
        </w:rPr>
        <w:t xml:space="preserve"> тыс. рублей, на 2022 год</w:t>
      </w:r>
      <w:r w:rsidR="004C1B7B">
        <w:rPr>
          <w:rFonts w:ascii="Times New Roman" w:hAnsi="Times New Roman" w:cs="Times New Roman"/>
          <w:sz w:val="24"/>
          <w:szCs w:val="24"/>
        </w:rPr>
        <w:t xml:space="preserve"> </w:t>
      </w:r>
      <w:r w:rsidRPr="00B72976">
        <w:rPr>
          <w:rFonts w:ascii="Times New Roman" w:hAnsi="Times New Roman" w:cs="Times New Roman"/>
          <w:sz w:val="24"/>
          <w:szCs w:val="24"/>
        </w:rPr>
        <w:t xml:space="preserve">- </w:t>
      </w:r>
      <w:r w:rsidR="004C1B7B">
        <w:rPr>
          <w:rFonts w:ascii="Times New Roman" w:hAnsi="Times New Roman" w:cs="Times New Roman"/>
          <w:sz w:val="24"/>
          <w:szCs w:val="24"/>
        </w:rPr>
        <w:t>875,9</w:t>
      </w:r>
      <w:r w:rsidRPr="00B72976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72976" w:rsidRPr="00B72976" w:rsidRDefault="00B72976" w:rsidP="004110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976">
        <w:rPr>
          <w:rFonts w:ascii="Times New Roman" w:hAnsi="Times New Roman" w:cs="Times New Roman"/>
          <w:sz w:val="24"/>
          <w:szCs w:val="24"/>
        </w:rPr>
        <w:t>Бюджетные ассигнования по подразделу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2976">
        <w:rPr>
          <w:rFonts w:ascii="Times New Roman" w:hAnsi="Times New Roman" w:cs="Times New Roman"/>
          <w:b/>
          <w:sz w:val="24"/>
          <w:szCs w:val="24"/>
        </w:rPr>
        <w:t xml:space="preserve"> «Резервные фонды»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976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Согласно статье 81 Бюджетного кодекса Российской Федерации </w:t>
      </w:r>
      <w:bookmarkStart w:id="0" w:name="sub_812"/>
      <w:r w:rsidRPr="00B72976">
        <w:rPr>
          <w:rFonts w:ascii="Times New Roman" w:hAnsi="Times New Roman" w:cs="Times New Roman"/>
          <w:sz w:val="24"/>
          <w:szCs w:val="24"/>
        </w:rPr>
        <w:t xml:space="preserve">размер резервных фондов местных администраций  не может превышать 3 процента общего объема расходов </w:t>
      </w:r>
      <w:proofErr w:type="spellStart"/>
      <w:r w:rsidRPr="00B72976">
        <w:rPr>
          <w:rFonts w:ascii="Times New Roman" w:hAnsi="Times New Roman" w:cs="Times New Roman"/>
          <w:sz w:val="24"/>
          <w:szCs w:val="24"/>
        </w:rPr>
        <w:t>бюджета.</w:t>
      </w:r>
      <w:bookmarkEnd w:id="0"/>
      <w:r w:rsidRPr="00B7297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72976">
        <w:rPr>
          <w:rFonts w:ascii="Times New Roman" w:hAnsi="Times New Roman" w:cs="Times New Roman"/>
          <w:sz w:val="24"/>
          <w:szCs w:val="24"/>
        </w:rPr>
        <w:t xml:space="preserve"> проекте решения на реализацию данной подпрограммы предусмотрены ассигнования на 2020 год в размере </w:t>
      </w:r>
      <w:r w:rsidR="004C1B7B">
        <w:rPr>
          <w:rFonts w:ascii="Times New Roman" w:hAnsi="Times New Roman" w:cs="Times New Roman"/>
          <w:sz w:val="24"/>
          <w:szCs w:val="24"/>
        </w:rPr>
        <w:t>5,0</w:t>
      </w:r>
      <w:r w:rsidRPr="00B72976">
        <w:rPr>
          <w:rFonts w:ascii="Times New Roman" w:hAnsi="Times New Roman" w:cs="Times New Roman"/>
          <w:sz w:val="24"/>
          <w:szCs w:val="24"/>
        </w:rPr>
        <w:t xml:space="preserve"> тыс. рублей, на 2021 год</w:t>
      </w:r>
      <w:r w:rsidR="004C1B7B">
        <w:rPr>
          <w:rFonts w:ascii="Times New Roman" w:hAnsi="Times New Roman" w:cs="Times New Roman"/>
          <w:sz w:val="24"/>
          <w:szCs w:val="24"/>
        </w:rPr>
        <w:t xml:space="preserve"> </w:t>
      </w:r>
      <w:r w:rsidRPr="00B72976">
        <w:rPr>
          <w:rFonts w:ascii="Times New Roman" w:hAnsi="Times New Roman" w:cs="Times New Roman"/>
          <w:sz w:val="24"/>
          <w:szCs w:val="24"/>
        </w:rPr>
        <w:t xml:space="preserve">- </w:t>
      </w:r>
      <w:r w:rsidR="004C1B7B">
        <w:rPr>
          <w:rFonts w:ascii="Times New Roman" w:hAnsi="Times New Roman" w:cs="Times New Roman"/>
          <w:sz w:val="24"/>
          <w:szCs w:val="24"/>
        </w:rPr>
        <w:t>5</w:t>
      </w:r>
      <w:r w:rsidRPr="00B72976">
        <w:rPr>
          <w:rFonts w:ascii="Times New Roman" w:hAnsi="Times New Roman" w:cs="Times New Roman"/>
          <w:sz w:val="24"/>
          <w:szCs w:val="24"/>
        </w:rPr>
        <w:t>,0 тыс. рублей, на 2022 год</w:t>
      </w:r>
      <w:r w:rsidR="004C1B7B">
        <w:rPr>
          <w:rFonts w:ascii="Times New Roman" w:hAnsi="Times New Roman" w:cs="Times New Roman"/>
          <w:sz w:val="24"/>
          <w:szCs w:val="24"/>
        </w:rPr>
        <w:t xml:space="preserve"> </w:t>
      </w:r>
      <w:r w:rsidRPr="00B72976">
        <w:rPr>
          <w:rFonts w:ascii="Times New Roman" w:hAnsi="Times New Roman" w:cs="Times New Roman"/>
          <w:sz w:val="24"/>
          <w:szCs w:val="24"/>
        </w:rPr>
        <w:t xml:space="preserve">- </w:t>
      </w:r>
      <w:r w:rsidR="004C1B7B">
        <w:rPr>
          <w:rFonts w:ascii="Times New Roman" w:hAnsi="Times New Roman" w:cs="Times New Roman"/>
          <w:sz w:val="24"/>
          <w:szCs w:val="24"/>
        </w:rPr>
        <w:t>5</w:t>
      </w:r>
      <w:r w:rsidRPr="00B72976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B72976" w:rsidRPr="00B72976" w:rsidRDefault="00B72976" w:rsidP="00A632A6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2976">
        <w:rPr>
          <w:rFonts w:ascii="Times New Roman" w:hAnsi="Times New Roman" w:cs="Times New Roman"/>
          <w:sz w:val="24"/>
          <w:szCs w:val="24"/>
        </w:rPr>
        <w:t>Бюджетные ассигнования по подразделу</w:t>
      </w:r>
      <w:r>
        <w:rPr>
          <w:rFonts w:ascii="Times New Roman" w:hAnsi="Times New Roman" w:cs="Times New Roman"/>
          <w:sz w:val="24"/>
          <w:szCs w:val="24"/>
        </w:rPr>
        <w:t xml:space="preserve"> " </w:t>
      </w:r>
      <w:r w:rsidRPr="00B72976">
        <w:rPr>
          <w:rFonts w:ascii="Times New Roman" w:hAnsi="Times New Roman" w:cs="Times New Roman"/>
          <w:b/>
          <w:sz w:val="24"/>
          <w:szCs w:val="24"/>
        </w:rPr>
        <w:t>Другие общегосударственные вопросы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76">
        <w:rPr>
          <w:rFonts w:ascii="Times New Roman" w:hAnsi="Times New Roman" w:cs="Times New Roman"/>
          <w:sz w:val="24"/>
          <w:szCs w:val="24"/>
        </w:rPr>
        <w:t xml:space="preserve">предусмотрены на обеспечение реализации муниципальной программы  "Развитие потенциала муниципального управления" на содержание административно-хозяйственного персонала  на 2020 год в размере </w:t>
      </w:r>
      <w:r w:rsidR="004C1B7B">
        <w:rPr>
          <w:rFonts w:ascii="Times New Roman" w:hAnsi="Times New Roman" w:cs="Times New Roman"/>
          <w:sz w:val="24"/>
          <w:szCs w:val="24"/>
        </w:rPr>
        <w:t>217,8</w:t>
      </w:r>
      <w:r w:rsidRPr="00B72976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4C1B7B">
        <w:rPr>
          <w:rFonts w:ascii="Times New Roman" w:hAnsi="Times New Roman" w:cs="Times New Roman"/>
          <w:sz w:val="24"/>
          <w:szCs w:val="24"/>
        </w:rPr>
        <w:t>,</w:t>
      </w:r>
      <w:r w:rsidRPr="00B72976">
        <w:rPr>
          <w:rFonts w:ascii="Times New Roman" w:hAnsi="Times New Roman" w:cs="Times New Roman"/>
          <w:sz w:val="24"/>
          <w:szCs w:val="24"/>
        </w:rPr>
        <w:t xml:space="preserve"> или 4,9% от общей суммы прогнозируемых расходов, на 2021 год – 19</w:t>
      </w:r>
      <w:r w:rsidR="004C1B7B">
        <w:rPr>
          <w:rFonts w:ascii="Times New Roman" w:hAnsi="Times New Roman" w:cs="Times New Roman"/>
          <w:sz w:val="24"/>
          <w:szCs w:val="24"/>
        </w:rPr>
        <w:t>0,3</w:t>
      </w:r>
      <w:r w:rsidRPr="00B72976">
        <w:rPr>
          <w:rFonts w:ascii="Times New Roman" w:hAnsi="Times New Roman" w:cs="Times New Roman"/>
          <w:sz w:val="24"/>
          <w:szCs w:val="24"/>
        </w:rPr>
        <w:t xml:space="preserve"> тыс. рублей, на 2022 год – 1</w:t>
      </w:r>
      <w:r w:rsidR="004C1B7B">
        <w:rPr>
          <w:rFonts w:ascii="Times New Roman" w:hAnsi="Times New Roman" w:cs="Times New Roman"/>
          <w:sz w:val="24"/>
          <w:szCs w:val="24"/>
        </w:rPr>
        <w:t>12,4</w:t>
      </w:r>
      <w:r w:rsidRPr="00B72976">
        <w:rPr>
          <w:rFonts w:ascii="Times New Roman" w:hAnsi="Times New Roman" w:cs="Times New Roman"/>
          <w:sz w:val="24"/>
          <w:szCs w:val="24"/>
        </w:rPr>
        <w:t xml:space="preserve"> тыс. рублей, а также на выполнение других обязательств муниципального образования на оплату членского взноса в Совет муниципальных образований на 2020 год  в размере </w:t>
      </w:r>
      <w:r w:rsidR="004C1B7B">
        <w:rPr>
          <w:rFonts w:ascii="Times New Roman" w:hAnsi="Times New Roman" w:cs="Times New Roman"/>
          <w:sz w:val="24"/>
          <w:szCs w:val="24"/>
        </w:rPr>
        <w:t>2,9</w:t>
      </w:r>
      <w:r w:rsidRPr="00B72976">
        <w:rPr>
          <w:rFonts w:ascii="Times New Roman" w:hAnsi="Times New Roman" w:cs="Times New Roman"/>
          <w:sz w:val="24"/>
          <w:szCs w:val="24"/>
        </w:rPr>
        <w:t xml:space="preserve"> тыс. рублей, на 2021 год – </w:t>
      </w:r>
      <w:r w:rsidR="004C1B7B">
        <w:rPr>
          <w:rFonts w:ascii="Times New Roman" w:hAnsi="Times New Roman" w:cs="Times New Roman"/>
          <w:sz w:val="24"/>
          <w:szCs w:val="24"/>
        </w:rPr>
        <w:t>2,9</w:t>
      </w:r>
      <w:r w:rsidRPr="00B7297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1B7B">
        <w:rPr>
          <w:rFonts w:ascii="Times New Roman" w:hAnsi="Times New Roman" w:cs="Times New Roman"/>
          <w:sz w:val="24"/>
          <w:szCs w:val="24"/>
        </w:rPr>
        <w:t>.</w:t>
      </w:r>
    </w:p>
    <w:p w:rsidR="00D844CF" w:rsidRPr="00D844CF" w:rsidRDefault="00BF3190" w:rsidP="00BA28C6">
      <w:pPr>
        <w:spacing w:before="24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81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оборона»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"Управление общественными ф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инансами и </w:t>
      </w:r>
      <w:proofErr w:type="spellStart"/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</w:t>
      </w:r>
      <w:proofErr w:type="spellEnd"/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долгом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на финансовое обеспечение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делегированных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организации первичного воинского учета на территориях, где отсутствуют военные комиссариаты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</w:t>
      </w:r>
      <w:r w:rsidR="00B72976">
        <w:rPr>
          <w:rFonts w:ascii="Times New Roman" w:hAnsi="Times New Roman" w:cs="Times New Roman"/>
          <w:sz w:val="24"/>
          <w:szCs w:val="24"/>
        </w:rPr>
        <w:t>сумме 89,</w:t>
      </w:r>
      <w:r w:rsidR="004C1B7B">
        <w:rPr>
          <w:rFonts w:ascii="Times New Roman" w:hAnsi="Times New Roman" w:cs="Times New Roman"/>
          <w:sz w:val="24"/>
          <w:szCs w:val="24"/>
        </w:rPr>
        <w:t>3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тыс. рублей, или 2,</w:t>
      </w:r>
      <w:r w:rsidR="004C1B7B">
        <w:rPr>
          <w:rFonts w:ascii="Times New Roman" w:hAnsi="Times New Roman" w:cs="Times New Roman"/>
          <w:sz w:val="24"/>
          <w:szCs w:val="24"/>
        </w:rPr>
        <w:t>0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% от общей суммы прогнозируемых расходов. </w:t>
      </w:r>
      <w:r w:rsidR="00D844CF">
        <w:rPr>
          <w:rFonts w:ascii="Times New Roman" w:hAnsi="Times New Roman" w:cs="Times New Roman"/>
          <w:sz w:val="24"/>
          <w:szCs w:val="24"/>
        </w:rPr>
        <w:t>Снижение к утвержденному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</w:t>
      </w:r>
      <w:r w:rsidR="00D844CF">
        <w:rPr>
          <w:rFonts w:ascii="Times New Roman" w:hAnsi="Times New Roman" w:cs="Times New Roman"/>
          <w:sz w:val="24"/>
          <w:szCs w:val="24"/>
        </w:rPr>
        <w:t xml:space="preserve"> бюджету 2019 года  составит 0,9 %.  На 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2021 год </w:t>
      </w:r>
      <w:r w:rsidR="00D844CF">
        <w:rPr>
          <w:rFonts w:ascii="Times New Roman" w:hAnsi="Times New Roman" w:cs="Times New Roman"/>
          <w:sz w:val="24"/>
          <w:szCs w:val="24"/>
        </w:rPr>
        <w:t xml:space="preserve">планируется к утверждению 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90,1 тыс. рублей, на 2022 год – 9</w:t>
      </w:r>
      <w:r w:rsidR="004C1B7B">
        <w:rPr>
          <w:rFonts w:ascii="Times New Roman" w:hAnsi="Times New Roman" w:cs="Times New Roman"/>
          <w:sz w:val="24"/>
          <w:szCs w:val="24"/>
        </w:rPr>
        <w:t>3,8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844CF" w:rsidRDefault="00BF3190" w:rsidP="00A632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году </w:t>
      </w:r>
      <w:r w:rsidR="00DA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7575CA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ежегодно.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Pr="00F11F4A" w:rsidRDefault="00BF3190" w:rsidP="00A632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экономика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расходы в рамках муниципальн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B353D7" w:rsidRPr="00B3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"Развитие транспортной системы "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данной программы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 бюджетные ассигнования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>953,4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7575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>47,1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>1,9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меньше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а( 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>1400,5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BF3190" w:rsidRDefault="00BF3190" w:rsidP="00A632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по разделу предусматриваются в сумме 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>952,1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4C1B7B">
        <w:rPr>
          <w:rFonts w:ascii="Times New Roman" w:eastAsia="Times New Roman" w:hAnsi="Times New Roman" w:cs="Times New Roman"/>
          <w:sz w:val="24"/>
          <w:szCs w:val="24"/>
          <w:lang w:eastAsia="ru-RU"/>
        </w:rPr>
        <w:t>1213,0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3190" w:rsidRPr="00F11F4A" w:rsidRDefault="00BF3190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540D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0D5B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7575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0D5B">
        <w:rPr>
          <w:rFonts w:ascii="Times New Roman" w:eastAsia="Times New Roman" w:hAnsi="Times New Roman" w:cs="Times New Roman"/>
          <w:sz w:val="24"/>
          <w:szCs w:val="24"/>
          <w:lang w:eastAsia="ru-RU"/>
        </w:rPr>
        <w:t>9,6</w:t>
      </w:r>
      <w:r w:rsidR="00A9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310D5B">
        <w:rPr>
          <w:rFonts w:ascii="Times New Roman" w:eastAsia="Times New Roman" w:hAnsi="Times New Roman" w:cs="Times New Roman"/>
          <w:sz w:val="24"/>
          <w:szCs w:val="24"/>
          <w:lang w:eastAsia="ru-RU"/>
        </w:rPr>
        <w:t>32,5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44437" w:rsidRDefault="00BF3190" w:rsidP="00310D5B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681006" w:rsidRPr="0063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63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«Жилищно-коммунальное хозяйство</w:t>
      </w:r>
      <w:r w:rsidR="007150BE"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44437"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1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2021 и 2022 годов </w:t>
      </w:r>
      <w:r w:rsidR="00344437"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</w:t>
      </w:r>
      <w:r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</w:t>
      </w:r>
      <w:r w:rsidR="00344437" w:rsidRP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</w:t>
      </w:r>
      <w:r w:rsidR="00310D5B">
        <w:rPr>
          <w:rFonts w:ascii="Times New Roman" w:eastAsia="Times New Roman" w:hAnsi="Times New Roman" w:cs="Times New Roman"/>
          <w:sz w:val="24"/>
          <w:szCs w:val="24"/>
          <w:lang w:eastAsia="ru-RU"/>
        </w:rPr>
        <w:t>115,0 тыс. руб. ежегодно, как и утвержденный показатель 2019 года.</w:t>
      </w:r>
      <w:r w:rsidR="0034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Pr="00F11F4A" w:rsidRDefault="00136E68" w:rsidP="00A632A6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68">
        <w:rPr>
          <w:rFonts w:ascii="Times New Roman" w:hAnsi="Times New Roman" w:cs="Times New Roman"/>
          <w:sz w:val="24"/>
          <w:szCs w:val="24"/>
        </w:rPr>
        <w:t>Бюджетные ассигнования по данному подразделу предусмотрены на реализацию  муниципальной программы "</w:t>
      </w:r>
      <w:r w:rsidR="00310D5B">
        <w:rPr>
          <w:rFonts w:ascii="Times New Roman" w:hAnsi="Times New Roman" w:cs="Times New Roman"/>
          <w:sz w:val="24"/>
          <w:szCs w:val="24"/>
        </w:rPr>
        <w:t>Формирование городской среды"</w:t>
      </w:r>
      <w:r w:rsidR="00BA0E35">
        <w:rPr>
          <w:rFonts w:ascii="Times New Roman" w:hAnsi="Times New Roman" w:cs="Times New Roman"/>
          <w:sz w:val="24"/>
          <w:szCs w:val="24"/>
        </w:rPr>
        <w:t xml:space="preserve">.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составит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</w:t>
      </w:r>
      <w:r w:rsidR="00310D5B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310D5B"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  <w:r w:rsid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D5B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0561B" w:rsidRDefault="00BF3190" w:rsidP="00A63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40561B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п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редусмот</w:t>
      </w:r>
      <w:r w:rsidR="0040561B">
        <w:rPr>
          <w:rFonts w:ascii="Times New Roman" w:hAnsi="Times New Roman" w:cs="Times New Roman"/>
          <w:sz w:val="24"/>
          <w:szCs w:val="24"/>
        </w:rPr>
        <w:t>-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рены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на  реализацию подпрограммы "Развитие культуры" муниципальной программы "Развитие культуры и туризма".На обеспечение деятельности учреждений в сфере культурно - </w:t>
      </w:r>
      <w:proofErr w:type="spellStart"/>
      <w:r w:rsidR="0040561B" w:rsidRPr="0040561B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обслуживания населения на 2020 год </w:t>
      </w:r>
      <w:r w:rsidR="0040561B">
        <w:rPr>
          <w:rFonts w:ascii="Times New Roman" w:hAnsi="Times New Roman" w:cs="Times New Roman"/>
          <w:sz w:val="24"/>
          <w:szCs w:val="24"/>
        </w:rPr>
        <w:t xml:space="preserve"> предусмотрены  ассигнования </w:t>
      </w:r>
      <w:r w:rsidR="0040561B" w:rsidRPr="0040561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10D5B">
        <w:rPr>
          <w:rFonts w:ascii="Times New Roman" w:hAnsi="Times New Roman" w:cs="Times New Roman"/>
          <w:sz w:val="24"/>
          <w:szCs w:val="24"/>
        </w:rPr>
        <w:t>2192,6</w:t>
      </w:r>
      <w:r w:rsidR="0040561B" w:rsidRPr="0040561B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="0040561B">
        <w:rPr>
          <w:rFonts w:ascii="Times New Roman" w:hAnsi="Times New Roman" w:cs="Times New Roman"/>
          <w:sz w:val="24"/>
          <w:szCs w:val="24"/>
        </w:rPr>
        <w:t>.</w:t>
      </w:r>
      <w:r w:rsidR="00BA0E35">
        <w:rPr>
          <w:rFonts w:ascii="Times New Roman" w:hAnsi="Times New Roman" w:cs="Times New Roman"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sz w:val="24"/>
          <w:szCs w:val="24"/>
        </w:rPr>
        <w:t>По сравнению с предшествующим годом (</w:t>
      </w:r>
      <w:r w:rsidR="00310D5B">
        <w:rPr>
          <w:rFonts w:ascii="Times New Roman" w:hAnsi="Times New Roman" w:cs="Times New Roman"/>
          <w:sz w:val="24"/>
          <w:szCs w:val="24"/>
        </w:rPr>
        <w:t>976,2</w:t>
      </w:r>
      <w:r w:rsidR="00FB6367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40561B">
        <w:rPr>
          <w:rFonts w:ascii="Times New Roman" w:hAnsi="Times New Roman" w:cs="Times New Roman"/>
          <w:sz w:val="24"/>
          <w:szCs w:val="24"/>
        </w:rPr>
        <w:t xml:space="preserve"> расходы  2020 года запланированы с</w:t>
      </w:r>
      <w:r w:rsidR="00310D5B">
        <w:rPr>
          <w:rFonts w:ascii="Times New Roman" w:hAnsi="Times New Roman" w:cs="Times New Roman"/>
          <w:sz w:val="24"/>
          <w:szCs w:val="24"/>
        </w:rPr>
        <w:t xml:space="preserve"> ростом в 2,2 раза, или на 1216,4 тыс. руб.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B" w:rsidRDefault="0040561B" w:rsidP="00A63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2021 года  сумма выделяемых средств на 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2021 год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310D5B">
        <w:rPr>
          <w:rFonts w:ascii="Times New Roman" w:hAnsi="Times New Roman" w:cs="Times New Roman"/>
          <w:sz w:val="24"/>
          <w:szCs w:val="24"/>
        </w:rPr>
        <w:t>918,7т</w:t>
      </w:r>
      <w:r w:rsidRPr="0040561B">
        <w:rPr>
          <w:rFonts w:ascii="Times New Roman" w:hAnsi="Times New Roman" w:cs="Times New Roman"/>
          <w:sz w:val="24"/>
          <w:szCs w:val="24"/>
        </w:rPr>
        <w:t xml:space="preserve">ыс. рублей, на 2022 год – </w:t>
      </w:r>
      <w:r w:rsidR="00310D5B">
        <w:rPr>
          <w:rFonts w:ascii="Times New Roman" w:hAnsi="Times New Roman" w:cs="Times New Roman"/>
          <w:sz w:val="24"/>
          <w:szCs w:val="24"/>
        </w:rPr>
        <w:t>908,9</w:t>
      </w:r>
      <w:r w:rsidRPr="004056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B" w:rsidRDefault="0040561B" w:rsidP="00A632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2020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310D5B">
        <w:rPr>
          <w:rFonts w:ascii="Times New Roman" w:hAnsi="Times New Roman" w:cs="Times New Roman"/>
          <w:sz w:val="24"/>
          <w:szCs w:val="24"/>
        </w:rPr>
        <w:t>49,1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1B">
        <w:rPr>
          <w:rFonts w:ascii="Times New Roman" w:hAnsi="Times New Roman" w:cs="Times New Roman"/>
          <w:sz w:val="24"/>
          <w:szCs w:val="24"/>
        </w:rPr>
        <w:t xml:space="preserve">, </w:t>
      </w:r>
      <w:r w:rsidR="000565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2021 год – </w:t>
      </w:r>
      <w:r w:rsidR="00310D5B">
        <w:rPr>
          <w:rFonts w:ascii="Times New Roman" w:hAnsi="Times New Roman" w:cs="Times New Roman"/>
          <w:sz w:val="24"/>
          <w:szCs w:val="24"/>
        </w:rPr>
        <w:t>28,6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0565CF">
        <w:rPr>
          <w:rFonts w:ascii="Times New Roman" w:hAnsi="Times New Roman" w:cs="Times New Roman"/>
          <w:sz w:val="24"/>
          <w:szCs w:val="24"/>
        </w:rPr>
        <w:t>на</w:t>
      </w:r>
      <w:r w:rsidRPr="0040561B">
        <w:rPr>
          <w:rFonts w:ascii="Times New Roman" w:hAnsi="Times New Roman" w:cs="Times New Roman"/>
          <w:sz w:val="24"/>
          <w:szCs w:val="24"/>
        </w:rPr>
        <w:t xml:space="preserve"> 2022 год – </w:t>
      </w:r>
      <w:r w:rsidR="00310D5B">
        <w:rPr>
          <w:rFonts w:ascii="Times New Roman" w:hAnsi="Times New Roman" w:cs="Times New Roman"/>
          <w:sz w:val="24"/>
          <w:szCs w:val="24"/>
        </w:rPr>
        <w:t>26,3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F3190" w:rsidRPr="00511C71" w:rsidRDefault="00511C71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</w:t>
      </w:r>
      <w:r w:rsidR="00BF3190" w:rsidRPr="0051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утверждаемых расходов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в сумме </w:t>
      </w:r>
      <w:r w:rsidR="00310D5B">
        <w:rPr>
          <w:rFonts w:ascii="Times New Roman" w:eastAsia="Times New Roman" w:hAnsi="Times New Roman" w:cs="Times New Roman"/>
          <w:sz w:val="24"/>
          <w:szCs w:val="24"/>
          <w:lang w:eastAsia="ru-RU"/>
        </w:rPr>
        <w:t>64,0</w:t>
      </w:r>
      <w:r w:rsidR="000565CF" w:rsidRPr="00B57FE9">
        <w:rPr>
          <w:sz w:val="24"/>
          <w:szCs w:val="24"/>
        </w:rPr>
        <w:t xml:space="preserve">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целевое назначение), на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23508F">
        <w:rPr>
          <w:rFonts w:ascii="Times New Roman" w:eastAsia="Times New Roman" w:hAnsi="Times New Roman" w:cs="Times New Roman"/>
          <w:sz w:val="24"/>
          <w:szCs w:val="24"/>
          <w:lang w:eastAsia="ru-RU"/>
        </w:rPr>
        <w:t>126,6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07985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объема расходов бюджета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96" w:rsidRP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объемы  условно утверждаемых расходов соответствуют требованиям ст.184.1 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(без учета расходов бюджета, предусмотренных за счет межбюджетных трансфертов из других бюджетов бюджетной системы,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 </w:t>
      </w:r>
    </w:p>
    <w:p w:rsidR="00BF3190" w:rsidRPr="00F11F4A" w:rsidRDefault="00BF3190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F11F4A" w:rsidRDefault="00BF3190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B40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Большеабакасинского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</w:p>
    <w:p w:rsidR="00BF3190" w:rsidRPr="00F11F4A" w:rsidRDefault="00BF3190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90" w:rsidRDefault="00BF3190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</w:p>
    <w:p w:rsidR="00BF3190" w:rsidRPr="00F11F4A" w:rsidRDefault="00BF3190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бюджета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A632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90" w:rsidRPr="00F11F4A" w:rsidRDefault="00BF3190" w:rsidP="00A632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</w:p>
    <w:p w:rsidR="00BF3190" w:rsidRPr="00F11F4A" w:rsidRDefault="00BF3190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90" w:rsidRPr="00F11F4A" w:rsidRDefault="00BF3190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Большеабакасинском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Pr="00F11F4A" w:rsidRDefault="00BF3190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показателей, представленных для рассмотрения  и утверждения  в проекте решения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23508F">
        <w:rPr>
          <w:rFonts w:ascii="Times New Roman" w:eastAsia="Times New Roman" w:hAnsi="Times New Roman" w:cs="Times New Roman"/>
          <w:sz w:val="24"/>
          <w:szCs w:val="24"/>
          <w:lang w:eastAsia="ru-RU"/>
        </w:rPr>
        <w:t>4463,7 т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23508F">
        <w:rPr>
          <w:rFonts w:ascii="Times New Roman" w:eastAsia="Times New Roman" w:hAnsi="Times New Roman" w:cs="Times New Roman"/>
          <w:sz w:val="24"/>
          <w:szCs w:val="24"/>
          <w:lang w:eastAsia="ru-RU"/>
        </w:rPr>
        <w:t>3214,0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23508F">
        <w:rPr>
          <w:rFonts w:ascii="Times New Roman" w:eastAsia="Times New Roman" w:hAnsi="Times New Roman" w:cs="Times New Roman"/>
          <w:sz w:val="24"/>
          <w:szCs w:val="24"/>
          <w:lang w:eastAsia="ru-RU"/>
        </w:rPr>
        <w:t>3450,6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337F9" w:rsidRDefault="00BF3190" w:rsidP="0063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23508F">
        <w:rPr>
          <w:rFonts w:ascii="Times New Roman" w:eastAsia="Times New Roman" w:hAnsi="Times New Roman" w:cs="Times New Roman"/>
          <w:sz w:val="24"/>
          <w:szCs w:val="24"/>
          <w:lang w:eastAsia="ru-RU"/>
        </w:rPr>
        <w:t>3214,0</w:t>
      </w:r>
      <w:r w:rsidR="006337F9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2021 год –</w:t>
      </w:r>
      <w:r w:rsidR="0023508F">
        <w:rPr>
          <w:rFonts w:ascii="Times New Roman" w:eastAsia="Times New Roman" w:hAnsi="Times New Roman" w:cs="Times New Roman"/>
          <w:sz w:val="24"/>
          <w:szCs w:val="24"/>
          <w:lang w:eastAsia="ru-RU"/>
        </w:rPr>
        <w:t>3214,0</w:t>
      </w:r>
      <w:r w:rsid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2022 год – </w:t>
      </w:r>
      <w:r w:rsidR="0023508F">
        <w:rPr>
          <w:rFonts w:ascii="Times New Roman" w:eastAsia="Times New Roman" w:hAnsi="Times New Roman" w:cs="Times New Roman"/>
          <w:sz w:val="24"/>
          <w:szCs w:val="24"/>
          <w:lang w:eastAsia="ru-RU"/>
        </w:rPr>
        <w:t>3450,6</w:t>
      </w:r>
      <w:r w:rsid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337F9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3508F">
        <w:rPr>
          <w:rFonts w:ascii="Times New Roman" w:eastAsia="Times New Roman" w:hAnsi="Times New Roman" w:cs="Times New Roman"/>
          <w:sz w:val="24"/>
          <w:szCs w:val="24"/>
          <w:lang w:eastAsia="ru-RU"/>
        </w:rPr>
        <w:t>64,0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508F">
        <w:rPr>
          <w:rFonts w:ascii="Times New Roman" w:eastAsia="Times New Roman" w:hAnsi="Times New Roman" w:cs="Times New Roman"/>
          <w:sz w:val="24"/>
          <w:szCs w:val="24"/>
          <w:lang w:eastAsia="ru-RU"/>
        </w:rPr>
        <w:t>26,6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3190" w:rsidRPr="00F11F4A" w:rsidRDefault="004110C2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A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Большеабакасинского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90" w:rsidRPr="00F11F4A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Контрольно-счетного </w:t>
      </w:r>
    </w:p>
    <w:p w:rsidR="00BF3190" w:rsidRPr="00F11F4A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F3190" w:rsidRPr="00F11F4A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</w:p>
    <w:p w:rsidR="00BF3190" w:rsidRPr="000B72ED" w:rsidRDefault="009520AC" w:rsidP="00BF3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A98">
        <w:rPr>
          <w:rFonts w:ascii="Times New Roman" w:hAnsi="Times New Roman" w:cs="Times New Roman"/>
          <w:sz w:val="24"/>
          <w:szCs w:val="24"/>
        </w:rPr>
        <w:t>__</w:t>
      </w:r>
      <w:r w:rsidR="00BF3190">
        <w:rPr>
          <w:rFonts w:ascii="Times New Roman" w:hAnsi="Times New Roman" w:cs="Times New Roman"/>
          <w:sz w:val="24"/>
          <w:szCs w:val="24"/>
        </w:rPr>
        <w:t>.1</w:t>
      </w:r>
      <w:r w:rsidR="00007985">
        <w:rPr>
          <w:rFonts w:ascii="Times New Roman" w:hAnsi="Times New Roman" w:cs="Times New Roman"/>
          <w:sz w:val="24"/>
          <w:szCs w:val="24"/>
        </w:rPr>
        <w:t>1</w:t>
      </w:r>
      <w:r w:rsidR="00BF3190">
        <w:rPr>
          <w:rFonts w:ascii="Times New Roman" w:hAnsi="Times New Roman" w:cs="Times New Roman"/>
          <w:sz w:val="24"/>
          <w:szCs w:val="24"/>
        </w:rPr>
        <w:t>.</w:t>
      </w:r>
      <w:r w:rsidR="00F922DD">
        <w:rPr>
          <w:rFonts w:ascii="Times New Roman" w:hAnsi="Times New Roman" w:cs="Times New Roman"/>
          <w:sz w:val="24"/>
          <w:szCs w:val="24"/>
        </w:rPr>
        <w:t>2019</w:t>
      </w:r>
      <w:r w:rsidR="00ED5B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3190" w:rsidRPr="000B72ED" w:rsidSect="00B408B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26" w:rsidRDefault="00276226" w:rsidP="00B1668B">
      <w:pPr>
        <w:spacing w:after="0" w:line="240" w:lineRule="auto"/>
      </w:pPr>
      <w:r>
        <w:separator/>
      </w:r>
    </w:p>
  </w:endnote>
  <w:endnote w:type="continuationSeparator" w:id="0">
    <w:p w:rsidR="00276226" w:rsidRDefault="00276226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26" w:rsidRDefault="00276226" w:rsidP="00B1668B">
      <w:pPr>
        <w:spacing w:after="0" w:line="240" w:lineRule="auto"/>
      </w:pPr>
      <w:r>
        <w:separator/>
      </w:r>
    </w:p>
  </w:footnote>
  <w:footnote w:type="continuationSeparator" w:id="0">
    <w:p w:rsidR="00276226" w:rsidRDefault="00276226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16BA"/>
    <w:rsid w:val="00007985"/>
    <w:rsid w:val="00036767"/>
    <w:rsid w:val="0004144C"/>
    <w:rsid w:val="00042891"/>
    <w:rsid w:val="000565CF"/>
    <w:rsid w:val="00063062"/>
    <w:rsid w:val="00070853"/>
    <w:rsid w:val="00070C59"/>
    <w:rsid w:val="000744B9"/>
    <w:rsid w:val="00076064"/>
    <w:rsid w:val="00082CC8"/>
    <w:rsid w:val="00083983"/>
    <w:rsid w:val="00092025"/>
    <w:rsid w:val="00093D75"/>
    <w:rsid w:val="000C1F1C"/>
    <w:rsid w:val="000C4EEB"/>
    <w:rsid w:val="000C773C"/>
    <w:rsid w:val="000D6F88"/>
    <w:rsid w:val="000E4AF7"/>
    <w:rsid w:val="00104BC5"/>
    <w:rsid w:val="001121C9"/>
    <w:rsid w:val="00123F68"/>
    <w:rsid w:val="00136E68"/>
    <w:rsid w:val="00140F45"/>
    <w:rsid w:val="00147411"/>
    <w:rsid w:val="001510D3"/>
    <w:rsid w:val="0015765C"/>
    <w:rsid w:val="00162E87"/>
    <w:rsid w:val="00163254"/>
    <w:rsid w:val="001816CA"/>
    <w:rsid w:val="001842CA"/>
    <w:rsid w:val="001A0E23"/>
    <w:rsid w:val="001D05CC"/>
    <w:rsid w:val="00200405"/>
    <w:rsid w:val="0023175C"/>
    <w:rsid w:val="0023508F"/>
    <w:rsid w:val="00240E83"/>
    <w:rsid w:val="002464FA"/>
    <w:rsid w:val="002654BF"/>
    <w:rsid w:val="00272218"/>
    <w:rsid w:val="00276226"/>
    <w:rsid w:val="00281C8B"/>
    <w:rsid w:val="00291152"/>
    <w:rsid w:val="00294399"/>
    <w:rsid w:val="002B41C3"/>
    <w:rsid w:val="002B4369"/>
    <w:rsid w:val="002B4D95"/>
    <w:rsid w:val="002C0229"/>
    <w:rsid w:val="002C5B93"/>
    <w:rsid w:val="002C7A96"/>
    <w:rsid w:val="002D7C4B"/>
    <w:rsid w:val="002F6DC9"/>
    <w:rsid w:val="002F7421"/>
    <w:rsid w:val="00310D5B"/>
    <w:rsid w:val="00321189"/>
    <w:rsid w:val="0032598E"/>
    <w:rsid w:val="00337962"/>
    <w:rsid w:val="00344437"/>
    <w:rsid w:val="00352690"/>
    <w:rsid w:val="0035748D"/>
    <w:rsid w:val="00360E0D"/>
    <w:rsid w:val="0037526F"/>
    <w:rsid w:val="0037772C"/>
    <w:rsid w:val="003804B9"/>
    <w:rsid w:val="00381A08"/>
    <w:rsid w:val="00391901"/>
    <w:rsid w:val="003979FD"/>
    <w:rsid w:val="003A037C"/>
    <w:rsid w:val="003C29F6"/>
    <w:rsid w:val="003C2E26"/>
    <w:rsid w:val="003E1B8B"/>
    <w:rsid w:val="003E3B2D"/>
    <w:rsid w:val="003F0895"/>
    <w:rsid w:val="0040561B"/>
    <w:rsid w:val="004110C2"/>
    <w:rsid w:val="00416004"/>
    <w:rsid w:val="004219FB"/>
    <w:rsid w:val="00422E59"/>
    <w:rsid w:val="00426BC2"/>
    <w:rsid w:val="00426DA9"/>
    <w:rsid w:val="00427294"/>
    <w:rsid w:val="00441CAB"/>
    <w:rsid w:val="00454576"/>
    <w:rsid w:val="00467B69"/>
    <w:rsid w:val="00483522"/>
    <w:rsid w:val="00497C3A"/>
    <w:rsid w:val="004A07C0"/>
    <w:rsid w:val="004A220F"/>
    <w:rsid w:val="004B13AD"/>
    <w:rsid w:val="004C1B7B"/>
    <w:rsid w:val="004C7C1F"/>
    <w:rsid w:val="004D7DD9"/>
    <w:rsid w:val="004E5AAC"/>
    <w:rsid w:val="004E7214"/>
    <w:rsid w:val="0050100A"/>
    <w:rsid w:val="00511C71"/>
    <w:rsid w:val="005132AF"/>
    <w:rsid w:val="00515ACA"/>
    <w:rsid w:val="00516353"/>
    <w:rsid w:val="00540DA7"/>
    <w:rsid w:val="00541875"/>
    <w:rsid w:val="00564C6F"/>
    <w:rsid w:val="005724D8"/>
    <w:rsid w:val="00574AF1"/>
    <w:rsid w:val="005A25BE"/>
    <w:rsid w:val="005A4D22"/>
    <w:rsid w:val="005A72A6"/>
    <w:rsid w:val="005C08DF"/>
    <w:rsid w:val="005C3245"/>
    <w:rsid w:val="005C4035"/>
    <w:rsid w:val="005C7B50"/>
    <w:rsid w:val="005D2674"/>
    <w:rsid w:val="005E1E5C"/>
    <w:rsid w:val="005E39AC"/>
    <w:rsid w:val="00630C6D"/>
    <w:rsid w:val="006337F9"/>
    <w:rsid w:val="00634331"/>
    <w:rsid w:val="00635885"/>
    <w:rsid w:val="00654E10"/>
    <w:rsid w:val="00655474"/>
    <w:rsid w:val="00655DFD"/>
    <w:rsid w:val="0066359D"/>
    <w:rsid w:val="00666B58"/>
    <w:rsid w:val="00681006"/>
    <w:rsid w:val="00691CFC"/>
    <w:rsid w:val="00692FE0"/>
    <w:rsid w:val="006A21B7"/>
    <w:rsid w:val="006A3587"/>
    <w:rsid w:val="006A7DC1"/>
    <w:rsid w:val="006B5827"/>
    <w:rsid w:val="006C0A64"/>
    <w:rsid w:val="006C1974"/>
    <w:rsid w:val="006D21E0"/>
    <w:rsid w:val="006E2AFA"/>
    <w:rsid w:val="007046A9"/>
    <w:rsid w:val="007139F1"/>
    <w:rsid w:val="007150BE"/>
    <w:rsid w:val="0072039F"/>
    <w:rsid w:val="0072217C"/>
    <w:rsid w:val="00722BB5"/>
    <w:rsid w:val="007336DB"/>
    <w:rsid w:val="007416D1"/>
    <w:rsid w:val="0074252B"/>
    <w:rsid w:val="007563E3"/>
    <w:rsid w:val="007575CA"/>
    <w:rsid w:val="007613AC"/>
    <w:rsid w:val="007662BA"/>
    <w:rsid w:val="00774997"/>
    <w:rsid w:val="0078570D"/>
    <w:rsid w:val="00790BB7"/>
    <w:rsid w:val="007A2B26"/>
    <w:rsid w:val="007A40C5"/>
    <w:rsid w:val="007B5F1E"/>
    <w:rsid w:val="007B6FDC"/>
    <w:rsid w:val="007C6219"/>
    <w:rsid w:val="007C63B1"/>
    <w:rsid w:val="007C6522"/>
    <w:rsid w:val="007E4C78"/>
    <w:rsid w:val="007E5A2D"/>
    <w:rsid w:val="00801008"/>
    <w:rsid w:val="00817E68"/>
    <w:rsid w:val="00821923"/>
    <w:rsid w:val="00830C0E"/>
    <w:rsid w:val="00831DFF"/>
    <w:rsid w:val="00836AE5"/>
    <w:rsid w:val="00845D4A"/>
    <w:rsid w:val="00850A9B"/>
    <w:rsid w:val="00865A7D"/>
    <w:rsid w:val="00866E6F"/>
    <w:rsid w:val="00870D48"/>
    <w:rsid w:val="0088098D"/>
    <w:rsid w:val="008A77E8"/>
    <w:rsid w:val="008C73B3"/>
    <w:rsid w:val="008C78F3"/>
    <w:rsid w:val="008E2A20"/>
    <w:rsid w:val="00931E42"/>
    <w:rsid w:val="00942B4C"/>
    <w:rsid w:val="00943DBA"/>
    <w:rsid w:val="00951B74"/>
    <w:rsid w:val="00951D39"/>
    <w:rsid w:val="009520AC"/>
    <w:rsid w:val="00960813"/>
    <w:rsid w:val="00970E23"/>
    <w:rsid w:val="009A1C28"/>
    <w:rsid w:val="009A37FF"/>
    <w:rsid w:val="009B52E0"/>
    <w:rsid w:val="009C1BCC"/>
    <w:rsid w:val="009C2909"/>
    <w:rsid w:val="00A03BE3"/>
    <w:rsid w:val="00A057DF"/>
    <w:rsid w:val="00A2545E"/>
    <w:rsid w:val="00A36510"/>
    <w:rsid w:val="00A632A6"/>
    <w:rsid w:val="00A65F22"/>
    <w:rsid w:val="00A724EA"/>
    <w:rsid w:val="00A7423F"/>
    <w:rsid w:val="00A76A58"/>
    <w:rsid w:val="00A84AF8"/>
    <w:rsid w:val="00A927AD"/>
    <w:rsid w:val="00A92D3D"/>
    <w:rsid w:val="00A94595"/>
    <w:rsid w:val="00AB31CF"/>
    <w:rsid w:val="00AE25DC"/>
    <w:rsid w:val="00AF42CD"/>
    <w:rsid w:val="00AF6677"/>
    <w:rsid w:val="00B01C52"/>
    <w:rsid w:val="00B06073"/>
    <w:rsid w:val="00B0689B"/>
    <w:rsid w:val="00B07C1F"/>
    <w:rsid w:val="00B1668B"/>
    <w:rsid w:val="00B232C0"/>
    <w:rsid w:val="00B353D7"/>
    <w:rsid w:val="00B357C3"/>
    <w:rsid w:val="00B408B3"/>
    <w:rsid w:val="00B43D19"/>
    <w:rsid w:val="00B51C1F"/>
    <w:rsid w:val="00B66004"/>
    <w:rsid w:val="00B72976"/>
    <w:rsid w:val="00B7334C"/>
    <w:rsid w:val="00B853CD"/>
    <w:rsid w:val="00BA0E35"/>
    <w:rsid w:val="00BA28C6"/>
    <w:rsid w:val="00BB3DF8"/>
    <w:rsid w:val="00BC7E0F"/>
    <w:rsid w:val="00BF3190"/>
    <w:rsid w:val="00C21EA4"/>
    <w:rsid w:val="00C56C50"/>
    <w:rsid w:val="00C641CF"/>
    <w:rsid w:val="00C72587"/>
    <w:rsid w:val="00C80A3B"/>
    <w:rsid w:val="00C822B0"/>
    <w:rsid w:val="00C971C9"/>
    <w:rsid w:val="00CA70EC"/>
    <w:rsid w:val="00CC5CA0"/>
    <w:rsid w:val="00CC795E"/>
    <w:rsid w:val="00CC7AB5"/>
    <w:rsid w:val="00CE1096"/>
    <w:rsid w:val="00CE3499"/>
    <w:rsid w:val="00CE4FC0"/>
    <w:rsid w:val="00D07636"/>
    <w:rsid w:val="00D118EA"/>
    <w:rsid w:val="00D137F0"/>
    <w:rsid w:val="00D170C1"/>
    <w:rsid w:val="00D417B1"/>
    <w:rsid w:val="00D43508"/>
    <w:rsid w:val="00D5479C"/>
    <w:rsid w:val="00D54B45"/>
    <w:rsid w:val="00D63A98"/>
    <w:rsid w:val="00D76A4C"/>
    <w:rsid w:val="00D778E7"/>
    <w:rsid w:val="00D844CF"/>
    <w:rsid w:val="00DA730C"/>
    <w:rsid w:val="00DB41C9"/>
    <w:rsid w:val="00E00749"/>
    <w:rsid w:val="00E02E32"/>
    <w:rsid w:val="00E07A83"/>
    <w:rsid w:val="00E1038C"/>
    <w:rsid w:val="00E10833"/>
    <w:rsid w:val="00E13A6A"/>
    <w:rsid w:val="00E17599"/>
    <w:rsid w:val="00E33644"/>
    <w:rsid w:val="00E34EAE"/>
    <w:rsid w:val="00E47499"/>
    <w:rsid w:val="00E62C64"/>
    <w:rsid w:val="00E70FCC"/>
    <w:rsid w:val="00E76557"/>
    <w:rsid w:val="00E82256"/>
    <w:rsid w:val="00E83F80"/>
    <w:rsid w:val="00E8664B"/>
    <w:rsid w:val="00E96867"/>
    <w:rsid w:val="00EB7DCC"/>
    <w:rsid w:val="00ED5B14"/>
    <w:rsid w:val="00EE5D07"/>
    <w:rsid w:val="00EF2D4C"/>
    <w:rsid w:val="00EF5A01"/>
    <w:rsid w:val="00F13994"/>
    <w:rsid w:val="00F1775F"/>
    <w:rsid w:val="00F27429"/>
    <w:rsid w:val="00F521EE"/>
    <w:rsid w:val="00F53694"/>
    <w:rsid w:val="00F543F4"/>
    <w:rsid w:val="00F63343"/>
    <w:rsid w:val="00F656FC"/>
    <w:rsid w:val="00F67F03"/>
    <w:rsid w:val="00F76924"/>
    <w:rsid w:val="00F8591E"/>
    <w:rsid w:val="00F922DD"/>
    <w:rsid w:val="00F948EB"/>
    <w:rsid w:val="00FA6DE8"/>
    <w:rsid w:val="00FB34BA"/>
    <w:rsid w:val="00FB6367"/>
    <w:rsid w:val="00FD4981"/>
    <w:rsid w:val="00FE04AE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Стиль1"/>
    <w:basedOn w:val="a"/>
    <w:link w:val="11"/>
    <w:qFormat/>
    <w:rsid w:val="00A632A6"/>
    <w:pPr>
      <w:pBdr>
        <w:bottom w:val="single" w:sz="12" w:space="21" w:color="auto"/>
      </w:pBd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10"/>
    <w:link w:val="20"/>
    <w:qFormat/>
    <w:rsid w:val="00A632A6"/>
  </w:style>
  <w:style w:type="character" w:customStyle="1" w:styleId="11">
    <w:name w:val="Стиль1 Знак"/>
    <w:basedOn w:val="a0"/>
    <w:link w:val="10"/>
    <w:rsid w:val="00A632A6"/>
    <w:rPr>
      <w:rFonts w:ascii="Times New Roman" w:hAnsi="Times New Roman" w:cs="Times New Roman"/>
      <w:sz w:val="24"/>
      <w:szCs w:val="24"/>
    </w:rPr>
  </w:style>
  <w:style w:type="paragraph" w:customStyle="1" w:styleId="3">
    <w:name w:val="Стиль3"/>
    <w:basedOn w:val="2"/>
    <w:link w:val="30"/>
    <w:qFormat/>
    <w:rsid w:val="00A632A6"/>
    <w:rPr>
      <w:rFonts w:eastAsia="Times New Roman"/>
      <w:lang w:eastAsia="ru-RU"/>
    </w:rPr>
  </w:style>
  <w:style w:type="character" w:customStyle="1" w:styleId="20">
    <w:name w:val="Стиль2 Знак"/>
    <w:basedOn w:val="11"/>
    <w:link w:val="2"/>
    <w:rsid w:val="00A632A6"/>
  </w:style>
  <w:style w:type="character" w:customStyle="1" w:styleId="30">
    <w:name w:val="Стиль3 Знак"/>
    <w:basedOn w:val="20"/>
    <w:link w:val="3"/>
    <w:rsid w:val="00A632A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9CDDD-0684-4E92-B708-CEF67D07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3922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2</cp:revision>
  <cp:lastPrinted>2019-12-12T14:12:00Z</cp:lastPrinted>
  <dcterms:created xsi:type="dcterms:W3CDTF">2019-12-12T14:15:00Z</dcterms:created>
  <dcterms:modified xsi:type="dcterms:W3CDTF">2019-12-12T14:15:00Z</dcterms:modified>
</cp:coreProperties>
</file>