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3972"/>
        <w:gridCol w:w="1702"/>
        <w:gridCol w:w="4256"/>
      </w:tblGrid>
      <w:tr w:rsidR="00294399" w:rsidTr="00294399">
        <w:tc>
          <w:tcPr>
            <w:tcW w:w="397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ЧАВАШ РЕСПУБЛИКИН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bCs/>
                <w:noProof/>
              </w:rPr>
              <w:t>ЙĚПРЕÇ РАЙОНĚН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Т</w:t>
            </w:r>
            <w:r w:rsidRPr="00294399">
              <w:rPr>
                <w:rFonts w:ascii="Times New Roman" w:hAnsi="Times New Roman"/>
                <w:bCs/>
                <w:noProof/>
              </w:rPr>
              <w:t>ĚРĚ</w:t>
            </w:r>
            <w:r w:rsidRPr="00294399">
              <w:rPr>
                <w:rFonts w:ascii="Times New Roman" w:hAnsi="Times New Roman"/>
              </w:rPr>
              <w:t>СЛЕВПЕ  ШУТЛАВ ОРГАН</w:t>
            </w:r>
            <w:r w:rsidRPr="00294399">
              <w:rPr>
                <w:rFonts w:ascii="Times New Roman" w:hAnsi="Times New Roman"/>
                <w:bCs/>
                <w:noProof/>
              </w:rPr>
              <w:t>Ě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6" w:type="dxa"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ИБРЕСИНСКОГО РАЙОНА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ЧУВАШСКОЙ РЕСПУБЛИКИ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294399" w:rsidRPr="00847490" w:rsidTr="00294399">
        <w:trPr>
          <w:trHeight w:val="625"/>
        </w:trPr>
        <w:tc>
          <w:tcPr>
            <w:tcW w:w="9930" w:type="dxa"/>
            <w:gridSpan w:val="3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>КОНТРОЛЬНО-СЧЕТНЫЙ ОРГАН ИБРЕСИНСКОГО РАЙОНА ЧУВАШСКОЙ РЕСПУБЛИКИ</w:t>
            </w:r>
          </w:p>
        </w:tc>
      </w:tr>
      <w:tr w:rsidR="00294399" w:rsidRPr="00847490" w:rsidTr="00294399">
        <w:trPr>
          <w:trHeight w:val="302"/>
        </w:trPr>
        <w:tc>
          <w:tcPr>
            <w:tcW w:w="9930" w:type="dxa"/>
            <w:gridSpan w:val="3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  <w:hideMark/>
          </w:tcPr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429700, Чувашская Республика, </w:t>
            </w:r>
            <w:proofErr w:type="spellStart"/>
            <w:r w:rsidRPr="00294399">
              <w:rPr>
                <w:rFonts w:ascii="Times New Roman" w:hAnsi="Times New Roman"/>
              </w:rPr>
              <w:t>Ибресинский</w:t>
            </w:r>
            <w:proofErr w:type="spellEnd"/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</w:rPr>
            </w:pPr>
            <w:r w:rsidRPr="00294399">
              <w:rPr>
                <w:rFonts w:ascii="Times New Roman" w:hAnsi="Times New Roman"/>
              </w:rPr>
              <w:t xml:space="preserve">район, </w:t>
            </w:r>
            <w:proofErr w:type="spellStart"/>
            <w:r w:rsidRPr="00294399">
              <w:rPr>
                <w:rFonts w:ascii="Times New Roman" w:hAnsi="Times New Roman"/>
              </w:rPr>
              <w:t>пос.Ибреси</w:t>
            </w:r>
            <w:proofErr w:type="spellEnd"/>
            <w:r w:rsidRPr="00294399">
              <w:rPr>
                <w:rFonts w:ascii="Times New Roman" w:hAnsi="Times New Roman"/>
              </w:rPr>
              <w:t>, ул. Маресьева, д.49</w:t>
            </w:r>
          </w:p>
          <w:p w:rsidR="00294399" w:rsidRPr="00294399" w:rsidRDefault="00294399" w:rsidP="003E1B8B">
            <w:pPr>
              <w:pStyle w:val="ac"/>
              <w:jc w:val="center"/>
              <w:rPr>
                <w:rFonts w:ascii="Times New Roman" w:hAnsi="Times New Roman"/>
                <w:b/>
                <w:caps/>
                <w:lang w:val="en-US"/>
              </w:rPr>
            </w:pPr>
            <w:r w:rsidRPr="00294399">
              <w:rPr>
                <w:rFonts w:ascii="Times New Roman" w:hAnsi="Times New Roman"/>
                <w:lang w:val="en-US"/>
              </w:rPr>
              <w:t>E-mail kso@ibresi.cap.ru.</w:t>
            </w:r>
          </w:p>
        </w:tc>
      </w:tr>
    </w:tbl>
    <w:p w:rsidR="00294399" w:rsidRPr="009A1C28" w:rsidRDefault="006337F9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9A1C28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.11.2019                                                                                                      № 6</w:t>
      </w:r>
      <w:r w:rsidR="00D61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BF3190" w:rsidRPr="009A1C28" w:rsidRDefault="009A1C28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3190" w:rsidRPr="009A1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F3190" w:rsidRPr="00383A97" w:rsidRDefault="00BF3190" w:rsidP="0096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Контрольно-счетного органа </w:t>
      </w:r>
      <w:r w:rsidR="00F5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F3190" w:rsidRPr="00383A97" w:rsidRDefault="00BF3190" w:rsidP="00964B8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Собрания депутатов </w:t>
      </w:r>
      <w:r w:rsidR="0096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«О бюджете </w:t>
      </w:r>
      <w:r w:rsidR="0096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3190" w:rsidRPr="00383A97" w:rsidRDefault="00BF3190" w:rsidP="00BF319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F3190" w:rsidRPr="00383A97" w:rsidRDefault="00BF3190" w:rsidP="00BF319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Контрольно-счетного 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проект решения Собрания депутатов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«О бюджете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заключение) подготовлено в соответствии с требованиями Бюджетного кодекса Российской Федерации, Соглашени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передаче полномочий Контрольно-счетного органа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 Контрольно-счетному органу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Контрольно-счетном органе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Проект решения Собрания депутатов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«О бюджете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383A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(далее – проект решения) внесен на рассмотрение Собрания депутатов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в срок, установленный ст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35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Положения «О регулировании бюджетных правоотношений 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Перечень документов и материалов, представленных Собранию депутатов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Чувашской Республики одновременно с проектом решения  соответствует требованиям  Положения «О регулировании бюджетных правоотношений 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Андреевском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Чувашской Республики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».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 решения сформирован в программной классификации расходов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основе </w:t>
      </w:r>
      <w:r w:rsid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муниципальных программ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района.</w:t>
      </w:r>
      <w:r w:rsidRPr="00383A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F3190" w:rsidRDefault="00BF3190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Экспертиза проекта решения проведена Контрольно-счетным органом </w:t>
      </w:r>
      <w:r w:rsidR="00F536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Ибресинского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в сравнении показател</w:t>
      </w:r>
      <w:r w:rsidR="007662BA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ями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2019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планируемыми показателями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="00F67F03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и планового периода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F922DD"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</w:t>
      </w:r>
      <w:r w:rsidRPr="00766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</w:t>
      </w:r>
      <w:r w:rsidRPr="001510D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1510D3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статьи 3</w:t>
      </w:r>
      <w:r w:rsid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регулировании бюджетных правоотношений 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Андреевском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в статье 1</w:t>
      </w:r>
      <w:r w:rsidRPr="001510D3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реш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жатся 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1510D3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10D3">
        <w:rPr>
          <w:rFonts w:ascii="Times New Roman" w:eastAsia="Times New Roman" w:hAnsi="Times New Roman" w:cs="Times New Roman"/>
          <w:spacing w:val="64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</w:t>
      </w:r>
      <w:r w:rsidRPr="001510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 </w:t>
      </w:r>
      <w:r w:rsidR="00F922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510D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151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070853" w:rsidRPr="001510D3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характеристики проекта бюджета </w:t>
      </w:r>
      <w:r w:rsidR="0096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Андреевского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51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151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определяются в следующих объемах:</w:t>
      </w:r>
    </w:p>
    <w:p w:rsidR="00070853" w:rsidRPr="001510D3" w:rsidRDefault="00070853" w:rsidP="000708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993"/>
        <w:gridCol w:w="1134"/>
        <w:gridCol w:w="1134"/>
        <w:gridCol w:w="1275"/>
        <w:gridCol w:w="1134"/>
      </w:tblGrid>
      <w:tr w:rsidR="00070853" w:rsidRPr="00070853" w:rsidTr="0072217C">
        <w:trPr>
          <w:trHeight w:val="97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CAB" w:rsidRPr="00AB31CF" w:rsidRDefault="00F922DD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="00070853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год </w:t>
            </w:r>
            <w:r w:rsidR="00441CAB"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 (решение о бюджете)</w:t>
            </w:r>
          </w:p>
          <w:p w:rsidR="00070853" w:rsidRPr="00AB31CF" w:rsidRDefault="00070853" w:rsidP="00070853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 xml:space="preserve">сумма, </w:t>
            </w:r>
          </w:p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2020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2021 г.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9A1C28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2022 г.   </w:t>
            </w:r>
            <w:r w:rsidR="00070853"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853" w:rsidRPr="00AB31CF" w:rsidRDefault="00070853" w:rsidP="0007085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AB31CF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</w:tr>
      <w:tr w:rsidR="00E61B3F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Pr="009A1C28" w:rsidRDefault="00E61B3F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3127,7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3134,1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2328,3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2499,7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107,4</w:t>
            </w:r>
          </w:p>
        </w:tc>
      </w:tr>
      <w:tr w:rsidR="00E61B3F" w:rsidRPr="00070853" w:rsidTr="00271D79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Pr="009A1C28" w:rsidRDefault="00E61B3F" w:rsidP="009A1C2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3277,1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3134,1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2328,3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2499,7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B3F" w:rsidRDefault="00E6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hAnsi="TimesET" w:cs="TimesET"/>
                <w:color w:val="000000"/>
                <w:sz w:val="20"/>
                <w:szCs w:val="20"/>
              </w:rPr>
            </w:pPr>
            <w:r>
              <w:rPr>
                <w:rFonts w:ascii="TimesET" w:hAnsi="TimesET" w:cs="TimesET"/>
                <w:color w:val="000000"/>
                <w:sz w:val="20"/>
                <w:szCs w:val="20"/>
              </w:rPr>
              <w:t>107,4</w:t>
            </w:r>
          </w:p>
        </w:tc>
      </w:tr>
      <w:tr w:rsidR="00070853" w:rsidRPr="00070853" w:rsidTr="002C5B93"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9A1C28" w:rsidRDefault="00070853" w:rsidP="002C5B93">
            <w:pPr>
              <w:autoSpaceDE w:val="0"/>
              <w:autoSpaceDN w:val="0"/>
              <w:spacing w:after="0" w:line="240" w:lineRule="auto"/>
              <w:ind w:right="-108" w:firstLine="34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(-)Дефицит; (+)</w:t>
            </w:r>
            <w:proofErr w:type="spellStart"/>
            <w:r w:rsidRPr="009A1C28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профицит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790BB7" w:rsidRDefault="00E61B3F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E61B3F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E61B3F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E61B3F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3" w:rsidRPr="001510D3" w:rsidRDefault="00070853" w:rsidP="002C5B93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070853" w:rsidRPr="00931E42" w:rsidRDefault="002C5B93" w:rsidP="000708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еб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пунктов </w:t>
      </w:r>
      <w:r w:rsidR="00070853" w:rsidRPr="00931E42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2 и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18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070853" w:rsidRPr="00931E42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70853" w:rsidRPr="00931E4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Федерации,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реш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070853" w:rsidRPr="00931E4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070853" w:rsidRPr="00931E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070853" w:rsidRPr="00931E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</w:t>
      </w:r>
      <w:r w:rsidR="00070853" w:rsidRPr="00931E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r w:rsidR="00070853"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</w:p>
    <w:p w:rsidR="00070853" w:rsidRPr="00931E42" w:rsidRDefault="00070853" w:rsidP="00070853">
      <w:pPr>
        <w:widowControl w:val="0"/>
        <w:tabs>
          <w:tab w:val="left" w:pos="1133"/>
          <w:tab w:val="left" w:pos="3140"/>
          <w:tab w:val="left" w:pos="4799"/>
          <w:tab w:val="left" w:pos="6679"/>
          <w:tab w:val="left" w:pos="7216"/>
          <w:tab w:val="left" w:pos="861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бюджетных ассигнований муниципального дорожного фонда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61B3F">
        <w:rPr>
          <w:rFonts w:ascii="Times New Roman" w:eastAsia="Times New Roman" w:hAnsi="Times New Roman" w:cs="Times New Roman"/>
          <w:sz w:val="24"/>
          <w:szCs w:val="24"/>
          <w:lang w:eastAsia="ru-RU"/>
        </w:rPr>
        <w:t>690,8</w:t>
      </w:r>
      <w:r w:rsid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61B3F">
        <w:rPr>
          <w:rFonts w:ascii="Times New Roman" w:eastAsia="Times New Roman" w:hAnsi="Times New Roman" w:cs="Times New Roman"/>
          <w:sz w:val="24"/>
          <w:szCs w:val="24"/>
          <w:lang w:eastAsia="ru-RU"/>
        </w:rPr>
        <w:t>689,8</w:t>
      </w:r>
      <w:r w:rsidR="00722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E61B3F">
        <w:rPr>
          <w:rFonts w:ascii="Times New Roman" w:eastAsia="Times New Roman" w:hAnsi="Times New Roman" w:cs="Times New Roman"/>
          <w:sz w:val="24"/>
          <w:szCs w:val="24"/>
          <w:lang w:eastAsia="ru-RU"/>
        </w:rPr>
        <w:t>878,7</w:t>
      </w:r>
      <w:r w:rsidRPr="00931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0853" w:rsidRPr="002654BF" w:rsidRDefault="00070853" w:rsidP="00070853">
      <w:pPr>
        <w:widowControl w:val="0"/>
        <w:tabs>
          <w:tab w:val="left" w:pos="993"/>
          <w:tab w:val="left" w:pos="1007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б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4BF">
        <w:rPr>
          <w:rFonts w:ascii="Times New Roman" w:eastAsia="Times New Roman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словно утвержденных</w:t>
      </w:r>
      <w:r w:rsidRPr="002654BF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54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</w:t>
      </w:r>
      <w:r w:rsidRPr="002654BF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плановом периоде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2654BF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2654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</w:t>
      </w:r>
      <w:r w:rsidRPr="002654B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654BF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04144C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E61B3F">
        <w:rPr>
          <w:rFonts w:ascii="Times New Roman" w:eastAsia="Times New Roman" w:hAnsi="Times New Roman" w:cs="Times New Roman"/>
          <w:sz w:val="24"/>
          <w:szCs w:val="24"/>
          <w:lang w:eastAsia="ru-RU"/>
        </w:rPr>
        <w:t>45,8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(нормативу соответствует – не менее 2,5%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направление);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в </w:t>
      </w:r>
      <w:r w:rsidR="00F922DD"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2022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году – </w:t>
      </w:r>
      <w:r w:rsidR="00E61B3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90,5</w:t>
      </w:r>
      <w:r w:rsidRPr="002654BF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тыс. рублей</w:t>
      </w:r>
      <w:r w:rsidRPr="0026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(нормативу соответствует - в объеме не менее 5,0 процентов общего объема расходов бюджета).</w:t>
      </w:r>
    </w:p>
    <w:p w:rsidR="00070853" w:rsidRPr="00A057DF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Проектом 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Pr="002654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654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26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также установлен размер Резервного фонда администрации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845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в сумме </w:t>
      </w:r>
      <w:r w:rsidR="00E61B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15,0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ежегодно, что с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огр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ниям,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A057D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статьей 81 Б</w:t>
      </w:r>
      <w:r w:rsidRPr="00A05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05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кодекса 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951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0853" w:rsidRDefault="00070853" w:rsidP="00070853">
      <w:pPr>
        <w:widowControl w:val="0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бюджета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предоставление и исполнение муниципальных гарантий </w:t>
      </w:r>
      <w:r w:rsidR="0096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Андреевского</w:t>
      </w:r>
      <w:r w:rsidRPr="00A0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A05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</w:p>
    <w:p w:rsidR="00070853" w:rsidRPr="00951D39" w:rsidRDefault="00070853" w:rsidP="000708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951D39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51D3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51D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51D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бюджета</w:t>
      </w:r>
      <w:r w:rsidRPr="00951D39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учтены положения налогового законодательства, действующие на момент составления проекта бюджета, а также изменения и дополнения в него, вступающие в действие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5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070853" w:rsidRDefault="00070853" w:rsidP="00BF31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F3190" w:rsidRPr="00383A97" w:rsidRDefault="00BF3190" w:rsidP="00BF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Доходы бюджета </w:t>
      </w:r>
      <w:r w:rsidR="009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Андреевского</w:t>
      </w:r>
      <w:r w:rsidRPr="00383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383A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Pr="0038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337962" w:rsidRPr="00337962" w:rsidRDefault="00337962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бюджета </w:t>
      </w:r>
      <w:r w:rsidR="0096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запланированы в соответствии с требованиями, установленными Бюджетным кодексом Российской Федерации, Положения о регулировании бюджетных правоотношений в </w:t>
      </w:r>
      <w:r w:rsidR="0096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Андреевском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поселении, рассчитаны на основе сценарных условий функционирования экономики поселения и основных показателей прогноза социально-экономического развития поселения на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951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годы, основных направлений бюджетной политики Правительства Российской Федерации и Чувашской Республики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годах, с учетом  фактического поступления налоговых и неналоговых доходов за 9 месяцев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года, ожидаемой оценки поступления доходов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году, спрогнозированных на уровне утвержденных плановых показателей, а также с учетом изменений и дополнений, внесенных в законодательство Российской Федерации о налогах и сборах, вступающих в силу с 01 января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 При расчете доходной части бюджета учтены нормативы отчислений в бюджет </w:t>
      </w:r>
      <w:r w:rsidR="0096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федеральных налогов и сборов, в том числе налогов, предусмотренных специальными налоговыми режимами, региональных налогов, неналоговых доходов, установленных статьями 41, 42, 46, 58, 61.</w:t>
      </w:r>
      <w:r w:rsidR="00294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62 Бюджетного кодекса Российской Федерации, статьями 8.1 Закона Чувашской Республики «О регулировании бюджетных правоотношений в Чувашской Республике» 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23.07.2001 </w:t>
      </w:r>
      <w:proofErr w:type="spellStart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C02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proofErr w:type="spellEnd"/>
      <w:r w:rsidRPr="00634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36.</w:t>
      </w:r>
    </w:p>
    <w:p w:rsidR="006C1974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доходов бюджета </w:t>
      </w:r>
      <w:r w:rsidR="0096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Андреевского</w:t>
      </w:r>
      <w:r w:rsidRPr="002C0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E2A20" w:rsidRPr="002C0229" w:rsidRDefault="008E2A20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3190" w:rsidRDefault="002C0229" w:rsidP="00337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Доходы </w:t>
      </w:r>
      <w:r w:rsidR="0096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Андреевского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прогнозируются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сумме </w:t>
      </w:r>
      <w:r w:rsidR="00E61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3134,1</w:t>
      </w:r>
      <w:r w:rsid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61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2328,3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тыс. рублей, в </w:t>
      </w:r>
      <w:r w:rsidR="00F922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– </w:t>
      </w:r>
      <w:r w:rsidR="00E61B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2499,7</w:t>
      </w:r>
      <w:r w:rsidR="00337962" w:rsidRPr="00337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</w:t>
      </w:r>
      <w:r w:rsidR="00BF3190" w:rsidRPr="00383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5F1E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B5F1E" w:rsidRDefault="007B5F1E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A20" w:rsidRDefault="00BF3190" w:rsidP="008E2A2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вышеприведенной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таблице</w:t>
      </w:r>
      <w:r w:rsidR="002C0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horzAnchor="margin" w:tblpY="5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6"/>
        <w:gridCol w:w="992"/>
        <w:gridCol w:w="1276"/>
        <w:gridCol w:w="992"/>
        <w:gridCol w:w="1276"/>
        <w:gridCol w:w="1124"/>
        <w:gridCol w:w="968"/>
      </w:tblGrid>
      <w:tr w:rsidR="008E2A20" w:rsidRPr="002C0229" w:rsidTr="008E2A20">
        <w:tc>
          <w:tcPr>
            <w:tcW w:w="1985" w:type="dxa"/>
            <w:vMerge w:val="restart"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2A20" w:rsidRPr="002C0229" w:rsidRDefault="008E2A20" w:rsidP="003E1B8B">
            <w:pPr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2019 год (решение о бюджете) сумма </w:t>
            </w:r>
          </w:p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 xml:space="preserve">(тыс. </w:t>
            </w:r>
            <w:proofErr w:type="spellStart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8E2A20" w:rsidRPr="002C0229" w:rsidTr="008E2A20">
        <w:tc>
          <w:tcPr>
            <w:tcW w:w="1985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2A20" w:rsidRPr="002C0229" w:rsidRDefault="008E2A20" w:rsidP="003E1B8B">
            <w:pPr>
              <w:tabs>
                <w:tab w:val="left" w:pos="36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сумма (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</w:t>
            </w:r>
            <w:proofErr w:type="spellEnd"/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992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предыду-щему</w:t>
            </w:r>
            <w:proofErr w:type="spellEnd"/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году</w:t>
            </w:r>
          </w:p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  <w:tc>
          <w:tcPr>
            <w:tcW w:w="1124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сумма </w:t>
            </w:r>
            <w:r w:rsidRPr="002C022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8" w:type="dxa"/>
            <w:shd w:val="clear" w:color="auto" w:fill="auto"/>
          </w:tcPr>
          <w:p w:rsidR="008E2A20" w:rsidRPr="002C0229" w:rsidRDefault="008E2A20" w:rsidP="003E1B8B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2C0229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к </w:t>
            </w:r>
            <w:proofErr w:type="spellStart"/>
            <w:r w:rsidRPr="008E2A20">
              <w:rPr>
                <w:rFonts w:ascii="TimesET" w:eastAsia="Times New Roman" w:hAnsi="TimesET" w:cs="Times New Roman"/>
                <w:lang w:eastAsia="ru-RU"/>
              </w:rPr>
              <w:t>преды-дущему</w:t>
            </w:r>
            <w:proofErr w:type="spellEnd"/>
            <w:r w:rsidRPr="008E2A20">
              <w:rPr>
                <w:rFonts w:ascii="TimesET" w:eastAsia="Times New Roman" w:hAnsi="TimesET" w:cs="Times New Roman"/>
                <w:lang w:eastAsia="ru-RU"/>
              </w:rPr>
              <w:t xml:space="preserve"> году</w:t>
            </w:r>
            <w:r w:rsidRPr="002C0229">
              <w:rPr>
                <w:rFonts w:ascii="TimesET" w:eastAsia="Times New Roman" w:hAnsi="TimesET" w:cs="Times New Roman"/>
                <w:sz w:val="18"/>
                <w:szCs w:val="18"/>
                <w:lang w:eastAsia="ru-RU"/>
              </w:rPr>
              <w:t>(%)</w:t>
            </w:r>
          </w:p>
        </w:tc>
      </w:tr>
      <w:tr w:rsidR="005050D8" w:rsidRPr="002C0229" w:rsidTr="007B5F1E">
        <w:trPr>
          <w:trHeight w:val="471"/>
        </w:trPr>
        <w:tc>
          <w:tcPr>
            <w:tcW w:w="1985" w:type="dxa"/>
            <w:shd w:val="clear" w:color="auto" w:fill="auto"/>
          </w:tcPr>
          <w:p w:rsidR="005050D8" w:rsidRPr="002C0229" w:rsidRDefault="005050D8" w:rsidP="003E1B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3127,7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3134,1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2328,3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74,3</w:t>
            </w:r>
          </w:p>
        </w:tc>
        <w:tc>
          <w:tcPr>
            <w:tcW w:w="1124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2499,7</w:t>
            </w:r>
          </w:p>
        </w:tc>
        <w:tc>
          <w:tcPr>
            <w:tcW w:w="968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</w:tr>
      <w:tr w:rsidR="005050D8" w:rsidRPr="002C0229" w:rsidTr="005B5B25">
        <w:trPr>
          <w:trHeight w:val="272"/>
        </w:trPr>
        <w:tc>
          <w:tcPr>
            <w:tcW w:w="1985" w:type="dxa"/>
            <w:shd w:val="clear" w:color="auto" w:fill="auto"/>
          </w:tcPr>
          <w:p w:rsidR="005050D8" w:rsidRPr="002C0229" w:rsidRDefault="005050D8" w:rsidP="005B5B2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0229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 w:rsidP="005B5B2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 w:rsidP="005B5B2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 w:rsidP="005B5B2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 w:rsidP="005B5B2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 w:rsidP="005B5B2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050D8" w:rsidRDefault="005050D8" w:rsidP="005B5B2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8" w:type="dxa"/>
            <w:shd w:val="clear" w:color="auto" w:fill="auto"/>
          </w:tcPr>
          <w:p w:rsidR="005050D8" w:rsidRDefault="005050D8" w:rsidP="005B5B25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050D8" w:rsidRPr="002C0229" w:rsidTr="007B5F1E">
        <w:trPr>
          <w:trHeight w:val="557"/>
        </w:trPr>
        <w:tc>
          <w:tcPr>
            <w:tcW w:w="1985" w:type="dxa"/>
            <w:shd w:val="clear" w:color="auto" w:fill="auto"/>
          </w:tcPr>
          <w:p w:rsidR="005050D8" w:rsidRPr="002C0229" w:rsidRDefault="005050D8" w:rsidP="005B5B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654,5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830,9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  <w:tc>
          <w:tcPr>
            <w:tcW w:w="1124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850,1</w:t>
            </w:r>
          </w:p>
        </w:tc>
        <w:tc>
          <w:tcPr>
            <w:tcW w:w="968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</w:tr>
      <w:tr w:rsidR="005050D8" w:rsidRPr="002C0229" w:rsidTr="007B5F1E">
        <w:trPr>
          <w:trHeight w:val="580"/>
        </w:trPr>
        <w:tc>
          <w:tcPr>
            <w:tcW w:w="1985" w:type="dxa"/>
            <w:shd w:val="clear" w:color="auto" w:fill="auto"/>
          </w:tcPr>
          <w:p w:rsidR="005050D8" w:rsidRPr="002C0229" w:rsidRDefault="005050D8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968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050D8" w:rsidRPr="002C0229" w:rsidTr="007B5F1E">
        <w:tc>
          <w:tcPr>
            <w:tcW w:w="1985" w:type="dxa"/>
            <w:shd w:val="clear" w:color="auto" w:fill="auto"/>
          </w:tcPr>
          <w:p w:rsidR="005050D8" w:rsidRPr="002C0229" w:rsidRDefault="005050D8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2473,3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2303,2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93,1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1488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  <w:tc>
          <w:tcPr>
            <w:tcW w:w="1124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1649,6</w:t>
            </w:r>
          </w:p>
        </w:tc>
        <w:tc>
          <w:tcPr>
            <w:tcW w:w="968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110,9</w:t>
            </w:r>
          </w:p>
        </w:tc>
      </w:tr>
      <w:tr w:rsidR="005050D8" w:rsidRPr="002C0229" w:rsidTr="007B5F1E">
        <w:trPr>
          <w:trHeight w:val="604"/>
        </w:trPr>
        <w:tc>
          <w:tcPr>
            <w:tcW w:w="1985" w:type="dxa"/>
            <w:shd w:val="clear" w:color="auto" w:fill="auto"/>
          </w:tcPr>
          <w:p w:rsidR="005050D8" w:rsidRPr="002C0229" w:rsidRDefault="005050D8" w:rsidP="003E1B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29">
              <w:rPr>
                <w:rFonts w:ascii="Times New Roman" w:hAnsi="Times New Roman" w:cs="Times New Roman"/>
                <w:sz w:val="24"/>
                <w:szCs w:val="24"/>
              </w:rPr>
              <w:t>доля в общем объеме доходов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63,9</w:t>
            </w:r>
          </w:p>
        </w:tc>
        <w:tc>
          <w:tcPr>
            <w:tcW w:w="1276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66,0</w:t>
            </w:r>
          </w:p>
        </w:tc>
        <w:tc>
          <w:tcPr>
            <w:tcW w:w="968" w:type="dxa"/>
            <w:shd w:val="clear" w:color="auto" w:fill="auto"/>
          </w:tcPr>
          <w:p w:rsidR="005050D8" w:rsidRDefault="005050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B5827" w:rsidRDefault="00C641CF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объеме доходов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величатся 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176,4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на 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27,0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 и составят 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830,9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доля 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36,5</w:t>
      </w:r>
      <w:r w:rsidR="00BF3190"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B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F3190" w:rsidRDefault="007B5F1E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 поступление собственных доходов увеличится на 1,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1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840,3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 а в 2022 году- на 1,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, и сос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 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850,1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Удельный вес  собственных доходов составит  в плановый период 3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6,1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3</w:t>
      </w:r>
      <w:r w:rsidR="005050D8">
        <w:rPr>
          <w:rFonts w:ascii="Times New Roman" w:eastAsia="Times New Roman" w:hAnsi="Times New Roman" w:cs="Times New Roman"/>
          <w:sz w:val="24"/>
          <w:szCs w:val="24"/>
          <w:lang w:eastAsia="ru-RU"/>
        </w:rPr>
        <w:t>4,0</w:t>
      </w:r>
      <w:r w:rsidR="006B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соответственно в 2021 и 2022 годах. </w:t>
      </w:r>
    </w:p>
    <w:p w:rsidR="006B5827" w:rsidRPr="003B0526" w:rsidRDefault="006B5827" w:rsidP="006B58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собственных доходов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Pr="006D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представлена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нижеприведенной таблице.</w:t>
      </w:r>
    </w:p>
    <w:p w:rsidR="006B5827" w:rsidRDefault="006B5827" w:rsidP="006B582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108" w:type="dxa"/>
        <w:tblLook w:val="01E0"/>
      </w:tblPr>
      <w:tblGrid>
        <w:gridCol w:w="4536"/>
        <w:gridCol w:w="1418"/>
        <w:gridCol w:w="1276"/>
        <w:gridCol w:w="1275"/>
        <w:gridCol w:w="1134"/>
      </w:tblGrid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Pr="00B20B85" w:rsidRDefault="00271D79" w:rsidP="003E1B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2019 год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2022 год</w:t>
            </w:r>
          </w:p>
        </w:tc>
      </w:tr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B20B85" w:rsidRDefault="00271D79" w:rsidP="00271D79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 xml:space="preserve">Собственные </w:t>
            </w:r>
            <w:proofErr w:type="spellStart"/>
            <w:r w:rsidRPr="00B20B85">
              <w:rPr>
                <w:sz w:val="24"/>
                <w:szCs w:val="24"/>
              </w:rPr>
              <w:t>доходы,всего</w:t>
            </w:r>
            <w:proofErr w:type="spellEnd"/>
            <w:r w:rsidRPr="00B20B85">
              <w:rPr>
                <w:sz w:val="24"/>
                <w:szCs w:val="24"/>
              </w:rPr>
              <w:t>, тыс.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850,1</w:t>
            </w:r>
          </w:p>
        </w:tc>
      </w:tr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B20B85" w:rsidRDefault="00271D79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B20B85" w:rsidRDefault="00271D79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Налоговые доходы,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660,1</w:t>
            </w:r>
          </w:p>
        </w:tc>
      </w:tr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B20B85" w:rsidRDefault="00271D79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Доля в общем объеме доходов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77,6</w:t>
            </w:r>
          </w:p>
        </w:tc>
      </w:tr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B20B85" w:rsidRDefault="00271D79" w:rsidP="003E1B8B">
            <w:pPr>
              <w:jc w:val="both"/>
              <w:rPr>
                <w:sz w:val="24"/>
                <w:szCs w:val="24"/>
              </w:rPr>
            </w:pPr>
            <w:r w:rsidRPr="00B20B85">
              <w:rPr>
                <w:sz w:val="24"/>
                <w:szCs w:val="24"/>
              </w:rPr>
              <w:t>Неналоговые доходы,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</w:t>
            </w:r>
          </w:p>
        </w:tc>
      </w:tr>
      <w:tr w:rsidR="00271D79" w:rsidRPr="00B20B85" w:rsidTr="00271D7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79" w:rsidRPr="00B20B85" w:rsidRDefault="00271D79" w:rsidP="00271D7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Уд.вес</w:t>
            </w:r>
            <w:proofErr w:type="spellEnd"/>
            <w:r w:rsidRPr="00B20B85">
              <w:rPr>
                <w:sz w:val="24"/>
                <w:szCs w:val="24"/>
              </w:rPr>
              <w:t xml:space="preserve"> общем объеме </w:t>
            </w:r>
            <w:r>
              <w:rPr>
                <w:sz w:val="24"/>
                <w:szCs w:val="24"/>
              </w:rPr>
              <w:t>собств.</w:t>
            </w:r>
            <w:r w:rsidRPr="00B20B85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>(%)</w:t>
            </w:r>
            <w:r w:rsidRPr="00B20B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79" w:rsidRDefault="00271D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22,4</w:t>
            </w:r>
          </w:p>
        </w:tc>
      </w:tr>
    </w:tbl>
    <w:p w:rsidR="006B5827" w:rsidRDefault="006B5827" w:rsidP="008E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827" w:rsidRDefault="006A3587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удельный вес в объеме собственных доходов составляют налоговые доходы, их доля в 2019 году составляет </w:t>
      </w:r>
      <w:r w:rsidR="00C55E0A">
        <w:rPr>
          <w:rFonts w:ascii="Times New Roman" w:eastAsia="Times New Roman" w:hAnsi="Times New Roman" w:cs="Times New Roman"/>
          <w:sz w:val="24"/>
          <w:szCs w:val="24"/>
          <w:lang w:eastAsia="ru-RU"/>
        </w:rPr>
        <w:t>72,3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C5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C5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 годы - по 77,7 % ежегодно.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решения рост налоговых доходов в 2020 году по сравнению с 2019 годом </w:t>
      </w:r>
      <w:r w:rsidR="00C55E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172,6 тыс. руб., или на 36,5 %.</w:t>
      </w:r>
      <w:r w:rsidR="003E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C55E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2022 годах   </w:t>
      </w:r>
      <w:r w:rsidR="00C5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прирост составит 7 тыс. руб. </w:t>
      </w:r>
    </w:p>
    <w:p w:rsidR="00C55E0A" w:rsidRDefault="00C55E0A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поступления  на 2020 год планируются в сумме 185 тыс.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составляет 102,2 % к предшествующему году. На 2021 и 2022 годы  планируется 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незначительное увеличение поступления на 2,0 тыс. руб. в 2021 году ,и на 3,0 тыс. </w:t>
      </w:r>
      <w:proofErr w:type="spellStart"/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2022 году.</w:t>
      </w:r>
    </w:p>
    <w:p w:rsidR="00BF3190" w:rsidRPr="00865A7D" w:rsidRDefault="00BF3190" w:rsidP="00A63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прогнозируется 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уровня  запланированного на 2019 год на 6,9 % 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составит 2</w:t>
      </w:r>
      <w:r w:rsidR="00FB59F9">
        <w:rPr>
          <w:rFonts w:ascii="Times New Roman" w:eastAsia="Times New Roman" w:hAnsi="Times New Roman" w:cs="Times New Roman"/>
          <w:sz w:val="24"/>
          <w:szCs w:val="24"/>
          <w:lang w:eastAsia="ru-RU"/>
        </w:rPr>
        <w:t>303,2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прогнозируется снижение поступления на </w:t>
      </w:r>
      <w:r w:rsidR="009C7D79">
        <w:rPr>
          <w:rFonts w:ascii="Times New Roman" w:eastAsia="Times New Roman" w:hAnsi="Times New Roman" w:cs="Times New Roman"/>
          <w:sz w:val="24"/>
          <w:szCs w:val="24"/>
          <w:lang w:eastAsia="ru-RU"/>
        </w:rPr>
        <w:t>35,4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 составит 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79">
        <w:rPr>
          <w:rFonts w:ascii="Times New Roman" w:eastAsia="Times New Roman" w:hAnsi="Times New Roman" w:cs="Times New Roman"/>
          <w:sz w:val="24"/>
          <w:szCs w:val="24"/>
          <w:lang w:eastAsia="ru-RU"/>
        </w:rPr>
        <w:t>1488,0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 w:rsidR="0066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 на уровне 1</w:t>
      </w:r>
      <w:r w:rsidR="009C7D79">
        <w:rPr>
          <w:rFonts w:ascii="Times New Roman" w:eastAsia="Times New Roman" w:hAnsi="Times New Roman" w:cs="Times New Roman"/>
          <w:sz w:val="24"/>
          <w:szCs w:val="24"/>
          <w:lang w:eastAsia="ru-RU"/>
        </w:rPr>
        <w:t>10,9</w:t>
      </w:r>
      <w:r w:rsidR="006A3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к предыдущему году, или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79">
        <w:rPr>
          <w:rFonts w:ascii="Times New Roman" w:eastAsia="Times New Roman" w:hAnsi="Times New Roman" w:cs="Times New Roman"/>
          <w:sz w:val="24"/>
          <w:szCs w:val="24"/>
          <w:lang w:eastAsia="ru-RU"/>
        </w:rPr>
        <w:t>1649,6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3B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Pr="003B0526" w:rsidRDefault="00BF3190" w:rsidP="00A632A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6DB" w:rsidRDefault="00063062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н</w:t>
      </w:r>
      <w:r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63062">
        <w:rPr>
          <w:rFonts w:ascii="Times New Roman" w:hAnsi="Times New Roman" w:cs="Times New Roman"/>
          <w:b/>
          <w:sz w:val="24"/>
          <w:szCs w:val="24"/>
        </w:rPr>
        <w:t xml:space="preserve"> на доходы физических лиц</w:t>
      </w:r>
      <w:r w:rsidRPr="00063062">
        <w:rPr>
          <w:rFonts w:ascii="Times New Roman" w:hAnsi="Times New Roman" w:cs="Times New Roman"/>
          <w:sz w:val="24"/>
          <w:szCs w:val="24"/>
        </w:rPr>
        <w:t xml:space="preserve"> на 2020 год 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в </w:t>
      </w:r>
      <w:r w:rsidRPr="0006306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9C7D79">
        <w:rPr>
          <w:rFonts w:ascii="Times New Roman" w:hAnsi="Times New Roman" w:cs="Times New Roman"/>
          <w:sz w:val="24"/>
          <w:szCs w:val="24"/>
        </w:rPr>
        <w:t>20,0</w:t>
      </w:r>
      <w:r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с приростом к плану 2019 года на </w:t>
      </w:r>
      <w:r w:rsidR="009C7D79">
        <w:rPr>
          <w:rFonts w:ascii="Times New Roman" w:hAnsi="Times New Roman" w:cs="Times New Roman"/>
          <w:sz w:val="24"/>
          <w:szCs w:val="24"/>
        </w:rPr>
        <w:t>11,1</w:t>
      </w:r>
      <w:r w:rsidR="007336DB">
        <w:rPr>
          <w:rFonts w:ascii="Times New Roman" w:hAnsi="Times New Roman" w:cs="Times New Roman"/>
          <w:sz w:val="24"/>
          <w:szCs w:val="24"/>
        </w:rPr>
        <w:t xml:space="preserve"> %. Удельный вес налога составит 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>2,4</w:t>
      </w:r>
      <w:r w:rsidRPr="00063062">
        <w:rPr>
          <w:rFonts w:ascii="Times New Roman" w:hAnsi="Times New Roman" w:cs="Times New Roman"/>
          <w:sz w:val="24"/>
          <w:szCs w:val="24"/>
        </w:rPr>
        <w:t xml:space="preserve"> % от общей суммы предполагаемых собственных доходов</w:t>
      </w:r>
      <w:r w:rsidR="007336DB">
        <w:rPr>
          <w:rFonts w:ascii="Times New Roman" w:hAnsi="Times New Roman" w:cs="Times New Roman"/>
          <w:sz w:val="24"/>
          <w:szCs w:val="24"/>
        </w:rPr>
        <w:t>.</w:t>
      </w:r>
    </w:p>
    <w:p w:rsidR="00063062" w:rsidRPr="00063062" w:rsidRDefault="007336DB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прогнозируемый  объем поступления состави</w:t>
      </w:r>
      <w:r w:rsidR="008E2A2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>19,4</w:t>
      </w:r>
      <w:r w:rsidR="008C78F3">
        <w:rPr>
          <w:rFonts w:ascii="Times New Roman" w:hAnsi="Times New Roman" w:cs="Times New Roman"/>
          <w:sz w:val="24"/>
          <w:szCs w:val="24"/>
        </w:rPr>
        <w:t>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на 2022 год-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>20,2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063062" w:rsidRPr="00063062" w:rsidRDefault="007336DB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</w:t>
      </w:r>
      <w:r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от уплаты акцизов на автомобильный бензин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на 2020 год </w:t>
      </w:r>
      <w:r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C7D79">
        <w:rPr>
          <w:rFonts w:ascii="Times New Roman" w:hAnsi="Times New Roman" w:cs="Times New Roman"/>
          <w:sz w:val="24"/>
          <w:szCs w:val="24"/>
        </w:rPr>
        <w:t>281,9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3</w:t>
      </w:r>
      <w:r w:rsidR="009C7D79">
        <w:rPr>
          <w:rFonts w:ascii="Times New Roman" w:hAnsi="Times New Roman" w:cs="Times New Roman"/>
          <w:sz w:val="24"/>
          <w:szCs w:val="24"/>
        </w:rPr>
        <w:t>3,9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</w:t>
      </w:r>
      <w:r w:rsidR="009C7D79">
        <w:rPr>
          <w:rFonts w:ascii="Times New Roman" w:hAnsi="Times New Roman" w:cs="Times New Roman"/>
          <w:sz w:val="24"/>
          <w:szCs w:val="24"/>
        </w:rPr>
        <w:t xml:space="preserve">-2022 году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сумма поступления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9C7D79">
        <w:rPr>
          <w:rFonts w:ascii="Times New Roman" w:hAnsi="Times New Roman" w:cs="Times New Roman"/>
          <w:sz w:val="24"/>
          <w:szCs w:val="24"/>
        </w:rPr>
        <w:t>также 281,9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7D79">
        <w:rPr>
          <w:rFonts w:ascii="Times New Roman" w:hAnsi="Times New Roman" w:cs="Times New Roman"/>
          <w:sz w:val="24"/>
          <w:szCs w:val="24"/>
        </w:rPr>
        <w:t xml:space="preserve"> ежегодно.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5CC" w:rsidRDefault="001D05CC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н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алог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 имущество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 </w:t>
      </w:r>
      <w:r>
        <w:rPr>
          <w:rFonts w:ascii="Times New Roman" w:hAnsi="Times New Roman" w:cs="Times New Roman"/>
          <w:sz w:val="24"/>
          <w:szCs w:val="24"/>
        </w:rPr>
        <w:t xml:space="preserve">запланировано с приростом </w:t>
      </w:r>
      <w:r w:rsidR="0036455D">
        <w:rPr>
          <w:rFonts w:ascii="Times New Roman" w:hAnsi="Times New Roman" w:cs="Times New Roman"/>
          <w:sz w:val="24"/>
          <w:szCs w:val="24"/>
        </w:rPr>
        <w:t xml:space="preserve"> в плану 2019 года  в 2,3 раза и составит  135,0 тыс. руб.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63062">
        <w:rPr>
          <w:rFonts w:ascii="Times New Roman" w:hAnsi="Times New Roman" w:cs="Times New Roman"/>
          <w:sz w:val="24"/>
          <w:szCs w:val="24"/>
        </w:rPr>
        <w:t>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 доля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36455D">
        <w:rPr>
          <w:rFonts w:ascii="Times New Roman" w:hAnsi="Times New Roman" w:cs="Times New Roman"/>
          <w:sz w:val="24"/>
          <w:szCs w:val="24"/>
        </w:rPr>
        <w:t>16,2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3062" w:rsidRPr="00063062" w:rsidRDefault="001D05CC" w:rsidP="00A632A6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2021 год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запланировано в сумме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8C78F3">
        <w:rPr>
          <w:rFonts w:ascii="Times New Roman" w:hAnsi="Times New Roman" w:cs="Times New Roman"/>
          <w:sz w:val="24"/>
          <w:szCs w:val="24"/>
        </w:rPr>
        <w:t>1</w:t>
      </w:r>
      <w:r w:rsidR="0036455D">
        <w:rPr>
          <w:rFonts w:ascii="Times New Roman" w:hAnsi="Times New Roman" w:cs="Times New Roman"/>
          <w:sz w:val="24"/>
          <w:szCs w:val="24"/>
        </w:rPr>
        <w:t>40,0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рублей, на 2022  год – </w:t>
      </w:r>
      <w:r w:rsidR="008C78F3">
        <w:rPr>
          <w:rFonts w:ascii="Times New Roman" w:hAnsi="Times New Roman" w:cs="Times New Roman"/>
          <w:sz w:val="24"/>
          <w:szCs w:val="24"/>
        </w:rPr>
        <w:t>1</w:t>
      </w:r>
      <w:r w:rsidR="0036455D">
        <w:rPr>
          <w:rFonts w:ascii="Times New Roman" w:hAnsi="Times New Roman" w:cs="Times New Roman"/>
          <w:sz w:val="24"/>
          <w:szCs w:val="24"/>
        </w:rPr>
        <w:t>45,0</w:t>
      </w:r>
      <w:r w:rsidR="008C78F3">
        <w:rPr>
          <w:rFonts w:ascii="Times New Roman" w:hAnsi="Times New Roman" w:cs="Times New Roman"/>
          <w:sz w:val="24"/>
          <w:szCs w:val="24"/>
        </w:rPr>
        <w:t>0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63062" w:rsidRPr="0006306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F70C08" w:rsidRDefault="001D05CC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поступления 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организаций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</w:t>
      </w:r>
      <w:r w:rsidR="00B01C52">
        <w:rPr>
          <w:rFonts w:ascii="Times New Roman" w:hAnsi="Times New Roman" w:cs="Times New Roman"/>
          <w:sz w:val="24"/>
          <w:szCs w:val="24"/>
        </w:rPr>
        <w:t xml:space="preserve">на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2020</w:t>
      </w:r>
      <w:r w:rsidR="0036455D">
        <w:rPr>
          <w:rFonts w:ascii="Times New Roman" w:hAnsi="Times New Roman" w:cs="Times New Roman"/>
          <w:sz w:val="24"/>
          <w:szCs w:val="24"/>
        </w:rPr>
        <w:t xml:space="preserve"> год  запланирована в сумме 7,0 тыс. руб. , или на уровне утвержденного  показателя  2019 года. На  2021 год запланировано  в сумме 10,0 тыс. руб., на 2022 год-  в сумме 11,0 тыс. руб.</w:t>
      </w:r>
    </w:p>
    <w:p w:rsidR="00B01C52" w:rsidRDefault="00B01C52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составит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F70C08">
        <w:rPr>
          <w:rFonts w:ascii="Times New Roman" w:hAnsi="Times New Roman" w:cs="Times New Roman"/>
          <w:sz w:val="24"/>
          <w:szCs w:val="24"/>
        </w:rPr>
        <w:t>0,8 %</w:t>
      </w:r>
      <w:r w:rsidR="00063062" w:rsidRPr="00063062">
        <w:rPr>
          <w:rFonts w:ascii="Times New Roman" w:hAnsi="Times New Roman" w:cs="Times New Roman"/>
          <w:sz w:val="24"/>
          <w:szCs w:val="24"/>
        </w:rPr>
        <w:t>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C08" w:rsidRDefault="00B01C52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>земельн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63062" w:rsidRPr="00063062">
        <w:rPr>
          <w:rFonts w:ascii="Times New Roman" w:hAnsi="Times New Roman" w:cs="Times New Roman"/>
          <w:b/>
          <w:sz w:val="24"/>
          <w:szCs w:val="24"/>
        </w:rPr>
        <w:t xml:space="preserve"> с физических лиц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 на 2020 год</w:t>
      </w:r>
      <w:r w:rsidR="00F70C08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годы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с ростом к утвержденному показателю </w:t>
      </w:r>
      <w:r w:rsidR="00F70C08">
        <w:rPr>
          <w:rFonts w:ascii="Times New Roman" w:hAnsi="Times New Roman" w:cs="Times New Roman"/>
          <w:sz w:val="24"/>
          <w:szCs w:val="24"/>
        </w:rPr>
        <w:t xml:space="preserve"> 2019 года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70C08">
        <w:rPr>
          <w:rFonts w:ascii="Times New Roman" w:hAnsi="Times New Roman" w:cs="Times New Roman"/>
          <w:sz w:val="24"/>
          <w:szCs w:val="24"/>
        </w:rPr>
        <w:t>198,0</w:t>
      </w:r>
      <w:r>
        <w:rPr>
          <w:rFonts w:ascii="Times New Roman" w:hAnsi="Times New Roman" w:cs="Times New Roman"/>
          <w:sz w:val="24"/>
          <w:szCs w:val="24"/>
        </w:rPr>
        <w:t xml:space="preserve"> тыс. руб.) </w:t>
      </w:r>
      <w:r w:rsidR="00F70C08">
        <w:rPr>
          <w:rFonts w:ascii="Times New Roman" w:hAnsi="Times New Roman" w:cs="Times New Roman"/>
          <w:sz w:val="24"/>
          <w:szCs w:val="24"/>
        </w:rPr>
        <w:t xml:space="preserve">на 2,0 тыс. руб.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70C08">
        <w:rPr>
          <w:rFonts w:ascii="Times New Roman" w:hAnsi="Times New Roman" w:cs="Times New Roman"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% , и составит </w:t>
      </w:r>
      <w:r w:rsidR="00F70C08">
        <w:rPr>
          <w:rFonts w:ascii="Times New Roman" w:hAnsi="Times New Roman" w:cs="Times New Roman"/>
          <w:sz w:val="24"/>
          <w:szCs w:val="24"/>
        </w:rPr>
        <w:t>200</w:t>
      </w:r>
      <w:r w:rsidR="008C78F3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="00F70C08">
        <w:rPr>
          <w:rFonts w:ascii="Times New Roman" w:hAnsi="Times New Roman" w:cs="Times New Roman"/>
          <w:sz w:val="24"/>
          <w:szCs w:val="24"/>
        </w:rPr>
        <w:t>ежегодно.</w:t>
      </w:r>
    </w:p>
    <w:p w:rsidR="00B01C52" w:rsidRDefault="00B01C52" w:rsidP="00A632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Удельный вес налога  составит </w:t>
      </w:r>
      <w:r w:rsidR="00063062" w:rsidRPr="00063062">
        <w:rPr>
          <w:rFonts w:ascii="Times New Roman" w:hAnsi="Times New Roman" w:cs="Times New Roman"/>
          <w:sz w:val="24"/>
          <w:szCs w:val="24"/>
        </w:rPr>
        <w:t xml:space="preserve"> 2</w:t>
      </w:r>
      <w:r w:rsidR="00F70C08">
        <w:rPr>
          <w:rFonts w:ascii="Times New Roman" w:hAnsi="Times New Roman" w:cs="Times New Roman"/>
          <w:sz w:val="24"/>
          <w:szCs w:val="24"/>
        </w:rPr>
        <w:t>4,</w:t>
      </w:r>
      <w:r w:rsidR="008C78F3">
        <w:rPr>
          <w:rFonts w:ascii="Times New Roman" w:hAnsi="Times New Roman" w:cs="Times New Roman"/>
          <w:sz w:val="24"/>
          <w:szCs w:val="24"/>
        </w:rPr>
        <w:t>1</w:t>
      </w:r>
      <w:r w:rsidR="00063062" w:rsidRPr="00063062">
        <w:rPr>
          <w:rFonts w:ascii="Times New Roman" w:hAnsi="Times New Roman" w:cs="Times New Roman"/>
          <w:sz w:val="24"/>
          <w:szCs w:val="24"/>
        </w:rPr>
        <w:t>% от общей суммы предполагаемых собственных доходов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690" w:rsidRDefault="00BF3190" w:rsidP="00A632A6">
      <w:pPr>
        <w:pStyle w:val="10"/>
        <w:pBdr>
          <w:bottom w:val="none" w:sz="0" w:space="0" w:color="auto"/>
        </w:pBdr>
        <w:rPr>
          <w:lang w:eastAsia="ru-RU"/>
        </w:rPr>
      </w:pPr>
      <w:r>
        <w:rPr>
          <w:lang w:eastAsia="ru-RU"/>
        </w:rPr>
        <w:t xml:space="preserve">   </w:t>
      </w:r>
      <w:r w:rsidRPr="00CE37C2">
        <w:rPr>
          <w:b/>
          <w:lang w:eastAsia="ru-RU"/>
        </w:rPr>
        <w:t>Неналоговые доходы</w:t>
      </w:r>
      <w:r w:rsidRPr="00CE37C2">
        <w:rPr>
          <w:lang w:eastAsia="ru-RU"/>
        </w:rPr>
        <w:t xml:space="preserve"> в бюджет  </w:t>
      </w:r>
      <w:r w:rsidR="00964B8D">
        <w:rPr>
          <w:lang w:eastAsia="ru-RU"/>
        </w:rPr>
        <w:t>Андреевского</w:t>
      </w:r>
      <w:r w:rsidR="0050100A" w:rsidRPr="00CE37C2">
        <w:rPr>
          <w:lang w:eastAsia="ru-RU"/>
        </w:rPr>
        <w:t xml:space="preserve"> </w:t>
      </w:r>
      <w:r w:rsidRPr="00CE37C2">
        <w:rPr>
          <w:lang w:eastAsia="ru-RU"/>
        </w:rPr>
        <w:t xml:space="preserve">сельского поселения на </w:t>
      </w:r>
      <w:r w:rsidR="00F922DD">
        <w:rPr>
          <w:lang w:eastAsia="ru-RU"/>
        </w:rPr>
        <w:t>2020</w:t>
      </w:r>
      <w:r>
        <w:rPr>
          <w:lang w:eastAsia="ru-RU"/>
        </w:rPr>
        <w:t xml:space="preserve"> </w:t>
      </w:r>
      <w:r w:rsidRPr="00CE37C2">
        <w:rPr>
          <w:lang w:eastAsia="ru-RU"/>
        </w:rPr>
        <w:t xml:space="preserve"> год предусмотрены в объеме </w:t>
      </w:r>
      <w:r w:rsidR="00F70C08">
        <w:rPr>
          <w:lang w:eastAsia="ru-RU"/>
        </w:rPr>
        <w:t>185,0 тыс. руб.</w:t>
      </w:r>
      <w:r w:rsidRPr="00CE37C2">
        <w:rPr>
          <w:lang w:eastAsia="ru-RU"/>
        </w:rPr>
        <w:t xml:space="preserve"> рублей, что </w:t>
      </w:r>
      <w:r w:rsidR="00352690">
        <w:rPr>
          <w:lang w:eastAsia="ru-RU"/>
        </w:rPr>
        <w:t xml:space="preserve">составляет </w:t>
      </w:r>
      <w:r w:rsidRPr="00CE37C2">
        <w:rPr>
          <w:lang w:eastAsia="ru-RU"/>
        </w:rPr>
        <w:t xml:space="preserve">на </w:t>
      </w:r>
      <w:r w:rsidR="00F70C08">
        <w:rPr>
          <w:lang w:eastAsia="ru-RU"/>
        </w:rPr>
        <w:t>102,2</w:t>
      </w:r>
      <w:r w:rsidR="00B06073">
        <w:rPr>
          <w:lang w:eastAsia="ru-RU"/>
        </w:rPr>
        <w:t xml:space="preserve">% </w:t>
      </w:r>
      <w:r w:rsidR="00352690">
        <w:rPr>
          <w:lang w:eastAsia="ru-RU"/>
        </w:rPr>
        <w:t xml:space="preserve"> к </w:t>
      </w:r>
      <w:r w:rsidR="00F70C08">
        <w:rPr>
          <w:lang w:eastAsia="ru-RU"/>
        </w:rPr>
        <w:t xml:space="preserve">утвержденному </w:t>
      </w:r>
      <w:r w:rsidR="00352690">
        <w:rPr>
          <w:lang w:eastAsia="ru-RU"/>
        </w:rPr>
        <w:t>уровню  2019 года.</w:t>
      </w:r>
      <w:r w:rsidR="00B06073">
        <w:rPr>
          <w:lang w:eastAsia="ru-RU"/>
        </w:rPr>
        <w:t xml:space="preserve"> </w:t>
      </w:r>
    </w:p>
    <w:p w:rsidR="00BF3190" w:rsidRPr="00CE37C2" w:rsidRDefault="00352690" w:rsidP="00A632A6">
      <w:pPr>
        <w:pStyle w:val="10"/>
        <w:pBdr>
          <w:bottom w:val="none" w:sz="0" w:space="0" w:color="auto"/>
        </w:pBdr>
        <w:rPr>
          <w:lang w:eastAsia="ru-RU"/>
        </w:rPr>
      </w:pPr>
      <w:r>
        <w:rPr>
          <w:lang w:eastAsia="ru-RU"/>
        </w:rPr>
        <w:t xml:space="preserve">     </w:t>
      </w:r>
      <w:r w:rsidR="00B06073">
        <w:rPr>
          <w:lang w:eastAsia="ru-RU"/>
        </w:rPr>
        <w:t xml:space="preserve">На 2021 год сумма плановая сумма поступления доходов составит </w:t>
      </w:r>
      <w:r w:rsidR="00F70C08">
        <w:rPr>
          <w:lang w:eastAsia="ru-RU"/>
        </w:rPr>
        <w:t>187,0</w:t>
      </w:r>
      <w:r w:rsidR="00B06073">
        <w:rPr>
          <w:lang w:eastAsia="ru-RU"/>
        </w:rPr>
        <w:t xml:space="preserve"> тыс. руб., на 2022 год</w:t>
      </w:r>
      <w:r w:rsidR="00F70C08">
        <w:rPr>
          <w:lang w:eastAsia="ru-RU"/>
        </w:rPr>
        <w:t xml:space="preserve"> </w:t>
      </w:r>
      <w:r w:rsidR="00B06073">
        <w:rPr>
          <w:lang w:eastAsia="ru-RU"/>
        </w:rPr>
        <w:t xml:space="preserve">- </w:t>
      </w:r>
      <w:r w:rsidR="00F70C08">
        <w:rPr>
          <w:lang w:eastAsia="ru-RU"/>
        </w:rPr>
        <w:t>190,0</w:t>
      </w:r>
      <w:r w:rsidR="00B06073">
        <w:rPr>
          <w:lang w:eastAsia="ru-RU"/>
        </w:rPr>
        <w:t xml:space="preserve"> тыс. руб. </w:t>
      </w:r>
    </w:p>
    <w:p w:rsidR="00352690" w:rsidRPr="00352690" w:rsidRDefault="00BF3190" w:rsidP="00A632A6">
      <w:pPr>
        <w:pStyle w:val="10"/>
        <w:pBdr>
          <w:bottom w:val="none" w:sz="0" w:space="0" w:color="auto"/>
        </w:pBdr>
      </w:pPr>
      <w:r w:rsidRPr="00352690">
        <w:rPr>
          <w:lang w:eastAsia="ru-RU"/>
        </w:rPr>
        <w:t xml:space="preserve">   </w:t>
      </w:r>
      <w:r w:rsidR="00352690" w:rsidRPr="00352690">
        <w:t xml:space="preserve">В составе неналоговых доходов </w:t>
      </w:r>
      <w:r w:rsidR="00964B8D">
        <w:t>Андреевского</w:t>
      </w:r>
      <w:r w:rsidR="00352690" w:rsidRPr="00352690">
        <w:t xml:space="preserve"> сельского поселения на 2020 год и на плановый  период 2021 и 2022 годов планируются:</w:t>
      </w:r>
    </w:p>
    <w:p w:rsidR="00F70C08" w:rsidRPr="00F70C08" w:rsidRDefault="00F70C08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08">
        <w:rPr>
          <w:rFonts w:ascii="Times New Roman" w:hAnsi="Times New Roman" w:cs="Times New Roman"/>
          <w:sz w:val="24"/>
          <w:szCs w:val="24"/>
        </w:rPr>
        <w:t>- доходы, получаемые в виде арендной платы за земельные участки, находящиеся в собственности поселений в сумме 155,0 тыс. рублей или 18,7% от общей суммы предполагаемых собственных доходов,  на 2021 год – 157,0 тыс. рублей, на 2022 год – 160,0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C08" w:rsidRPr="00F70C08" w:rsidRDefault="00F70C08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08">
        <w:rPr>
          <w:rFonts w:ascii="Times New Roman" w:hAnsi="Times New Roman" w:cs="Times New Roman"/>
          <w:sz w:val="24"/>
          <w:szCs w:val="24"/>
        </w:rPr>
        <w:t>- доходы от сдачи в аренду имущества, находящегося в оперативном управлении органов управления поселений в сумме 27,0 тыс. рублей или 3,2% от общей суммы предполагаемых собственных доходов, на 2021 год – 27,0 тыс. рублей, на 2022 год – 27,0 тыс. рублей.</w:t>
      </w:r>
    </w:p>
    <w:p w:rsidR="00F70C08" w:rsidRPr="00F70C08" w:rsidRDefault="00F70C08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08">
        <w:rPr>
          <w:rFonts w:ascii="Times New Roman" w:hAnsi="Times New Roman" w:cs="Times New Roman"/>
          <w:sz w:val="24"/>
          <w:szCs w:val="24"/>
        </w:rPr>
        <w:t>- прочие поступления, от использования имущества, находящегося в собственности сельских поселений в сумме 3,0 тыс. рублей или 0,4% от общей суммы предполагаемых собственных доходов, на 2021 год – 3,0 тыс. рублей, на 2022 год – 3,0 тыс. рублей.</w:t>
      </w:r>
    </w:p>
    <w:p w:rsidR="00892D41" w:rsidRDefault="000016BA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0C08">
        <w:rPr>
          <w:rFonts w:ascii="Times New Roman" w:hAnsi="Times New Roman" w:cs="Times New Roman"/>
          <w:sz w:val="24"/>
          <w:szCs w:val="24"/>
        </w:rPr>
        <w:t xml:space="preserve">Удельный вес  неналоговых доходов  в  2020 году составит </w:t>
      </w:r>
      <w:r w:rsidR="00F70C08" w:rsidRPr="00F70C08">
        <w:rPr>
          <w:rFonts w:ascii="Times New Roman" w:hAnsi="Times New Roman" w:cs="Times New Roman"/>
          <w:sz w:val="24"/>
          <w:szCs w:val="24"/>
        </w:rPr>
        <w:t>22,3</w:t>
      </w:r>
      <w:r w:rsidRPr="00F70C08">
        <w:rPr>
          <w:rFonts w:ascii="Times New Roman" w:hAnsi="Times New Roman" w:cs="Times New Roman"/>
          <w:sz w:val="24"/>
          <w:szCs w:val="24"/>
        </w:rPr>
        <w:t xml:space="preserve"> %, в 2021 году-</w:t>
      </w:r>
      <w:r w:rsidR="00F70C08" w:rsidRPr="00F70C08">
        <w:rPr>
          <w:rFonts w:ascii="Times New Roman" w:hAnsi="Times New Roman" w:cs="Times New Roman"/>
          <w:sz w:val="24"/>
          <w:szCs w:val="24"/>
        </w:rPr>
        <w:t xml:space="preserve"> 22,3</w:t>
      </w:r>
      <w:r w:rsidRPr="00F70C08">
        <w:rPr>
          <w:rFonts w:ascii="Times New Roman" w:hAnsi="Times New Roman" w:cs="Times New Roman"/>
          <w:sz w:val="24"/>
          <w:szCs w:val="24"/>
        </w:rPr>
        <w:t xml:space="preserve">%, в 2022 году- </w:t>
      </w:r>
      <w:r w:rsidR="00F70C08" w:rsidRPr="00F70C08">
        <w:rPr>
          <w:rFonts w:ascii="Times New Roman" w:hAnsi="Times New Roman" w:cs="Times New Roman"/>
          <w:sz w:val="24"/>
          <w:szCs w:val="24"/>
        </w:rPr>
        <w:t>22,4</w:t>
      </w:r>
      <w:r w:rsidRPr="00F70C08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2235B" w:rsidRPr="00743448" w:rsidRDefault="00892D41" w:rsidP="005B5B25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48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бюджета Ибресинского района на 2020 год прогнозируются в сумме 2303,2 тыс. рублей  или 73,51,9% от доходов бюджета поселения, на 2021 год – 1488,0 тыс. рублей, на 2022 год – 1649,6 тыс. рублей. </w:t>
      </w:r>
    </w:p>
    <w:p w:rsidR="005B5B25" w:rsidRDefault="00892D41" w:rsidP="00743448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4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Pr="00743448">
        <w:rPr>
          <w:rFonts w:ascii="Times New Roman" w:hAnsi="Times New Roman" w:cs="Times New Roman"/>
          <w:i/>
          <w:sz w:val="24"/>
          <w:szCs w:val="24"/>
          <w:u w:val="single"/>
        </w:rPr>
        <w:t>безвозмездных поступлений</w:t>
      </w:r>
      <w:r w:rsidRPr="00743448">
        <w:rPr>
          <w:rFonts w:ascii="Times New Roman" w:hAnsi="Times New Roman" w:cs="Times New Roman"/>
          <w:sz w:val="24"/>
          <w:szCs w:val="24"/>
        </w:rPr>
        <w:t xml:space="preserve"> планируются: </w:t>
      </w:r>
    </w:p>
    <w:p w:rsidR="00892D41" w:rsidRPr="00743448" w:rsidRDefault="00892D41" w:rsidP="00743448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48">
        <w:rPr>
          <w:rFonts w:ascii="Times New Roman" w:hAnsi="Times New Roman" w:cs="Times New Roman"/>
          <w:sz w:val="24"/>
          <w:szCs w:val="24"/>
        </w:rPr>
        <w:t>- дотации на выравнивание бюджетной обеспеченности на 2020 год в сумме 1105,0 тыс. рублей или 47,9% от общей суммы предполагаемых безвозмездных поступлений, на 2021 год – 990,0 тыс. рублей, на 2022 год – 959,0 тыс. рублей</w:t>
      </w:r>
    </w:p>
    <w:p w:rsidR="00892D41" w:rsidRPr="00743448" w:rsidRDefault="00892D41" w:rsidP="00743448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448">
        <w:rPr>
          <w:rFonts w:ascii="Times New Roman" w:hAnsi="Times New Roman" w:cs="Times New Roman"/>
          <w:sz w:val="24"/>
          <w:szCs w:val="24"/>
        </w:rPr>
        <w:t xml:space="preserve">- субсидии бюджетам поселений на 2020 год в сумме 1108,9 тыс. рублей или 48,1% от общей суммы предполагаемых безвозмездных поступлений, на 2021 год – 407,9 тыс. рублей, на 2022 год – 596,8 тыс. рублей. В составе субсидий прогнозируются субсидии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а также на укрепление материально-технической базы муниципальных учреждений </w:t>
      </w:r>
      <w:proofErr w:type="spellStart"/>
      <w:r w:rsidRPr="00743448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743448"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72235B" w:rsidRDefault="00892D41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</w:pPr>
      <w:r w:rsidRPr="00743448">
        <w:rPr>
          <w:rFonts w:ascii="Times New Roman" w:hAnsi="Times New Roman" w:cs="Times New Roman"/>
          <w:sz w:val="24"/>
          <w:szCs w:val="24"/>
        </w:rPr>
        <w:t xml:space="preserve">- субвенции на 2020 год в сумме 89,3 тыс. рублей или 3,9 % от общей суммы предполагаемых безвозмездных поступлений, на 2021 год – 90,1 тыс. рублей, на 2022 год – 93,8 тыс. рублей. В составе субвенций прогнозируются  субвенции на осуществление первичного воинского учета на территориях, где отсутствуют военные комиссариаты. </w:t>
      </w:r>
      <w:r w:rsidR="00BF3190" w:rsidRPr="00743448">
        <w:t xml:space="preserve">      </w:t>
      </w:r>
      <w:r w:rsidR="0072235B">
        <w:t xml:space="preserve">           </w:t>
      </w:r>
    </w:p>
    <w:p w:rsidR="0072235B" w:rsidRDefault="0072235B" w:rsidP="0072235B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u w:val="single" w:color="FFFFFF" w:themeColor="background1"/>
        </w:rPr>
      </w:pPr>
      <w:r>
        <w:t>Д</w:t>
      </w:r>
      <w:r w:rsidR="00BF3190" w:rsidRPr="0072235B">
        <w:rPr>
          <w:rFonts w:ascii="Times New Roman" w:hAnsi="Times New Roman" w:cs="Times New Roman"/>
        </w:rPr>
        <w:t xml:space="preserve">оля безвозмездных поступлений в доходах бюджета </w:t>
      </w:r>
      <w:r w:rsidR="00964B8D" w:rsidRPr="0072235B">
        <w:rPr>
          <w:rFonts w:ascii="Times New Roman" w:hAnsi="Times New Roman" w:cs="Times New Roman"/>
        </w:rPr>
        <w:t>Андреевского</w:t>
      </w:r>
      <w:r w:rsidR="0050100A" w:rsidRPr="0072235B">
        <w:rPr>
          <w:rFonts w:ascii="Times New Roman" w:hAnsi="Times New Roman" w:cs="Times New Roman"/>
        </w:rPr>
        <w:t xml:space="preserve"> </w:t>
      </w:r>
      <w:r w:rsidR="00BF3190" w:rsidRPr="0072235B">
        <w:rPr>
          <w:rFonts w:ascii="Times New Roman" w:hAnsi="Times New Roman" w:cs="Times New Roman"/>
        </w:rPr>
        <w:t xml:space="preserve">сельского </w:t>
      </w:r>
      <w:r w:rsidR="00BF3190" w:rsidRPr="0072235B">
        <w:rPr>
          <w:rFonts w:ascii="Times New Roman" w:hAnsi="Times New Roman" w:cs="Times New Roman"/>
          <w:u w:val="single" w:color="FFFFFF" w:themeColor="background1"/>
        </w:rPr>
        <w:t xml:space="preserve">поселения в </w:t>
      </w:r>
      <w:r w:rsidR="00F922DD" w:rsidRPr="0072235B">
        <w:rPr>
          <w:rFonts w:ascii="Times New Roman" w:hAnsi="Times New Roman" w:cs="Times New Roman"/>
          <w:u w:val="single" w:color="FFFFFF" w:themeColor="background1"/>
        </w:rPr>
        <w:t>2020</w:t>
      </w:r>
      <w:r w:rsidR="00BF3190" w:rsidRPr="0072235B">
        <w:rPr>
          <w:rFonts w:ascii="Times New Roman" w:hAnsi="Times New Roman" w:cs="Times New Roman"/>
          <w:u w:val="single" w:color="FFFFFF" w:themeColor="background1"/>
        </w:rPr>
        <w:t xml:space="preserve"> году составит </w:t>
      </w:r>
      <w:r w:rsidR="00892D41" w:rsidRPr="0072235B">
        <w:rPr>
          <w:rFonts w:ascii="Times New Roman" w:hAnsi="Times New Roman" w:cs="Times New Roman"/>
          <w:u w:val="single" w:color="FFFFFF" w:themeColor="background1"/>
        </w:rPr>
        <w:t>73,5</w:t>
      </w:r>
      <w:r w:rsidR="00BF3190" w:rsidRPr="0072235B">
        <w:rPr>
          <w:rFonts w:ascii="Times New Roman" w:hAnsi="Times New Roman" w:cs="Times New Roman"/>
          <w:u w:val="single" w:color="FFFFFF" w:themeColor="background1"/>
        </w:rPr>
        <w:t xml:space="preserve"> %</w:t>
      </w:r>
      <w:r w:rsidR="00692FE0" w:rsidRPr="0072235B">
        <w:rPr>
          <w:rFonts w:ascii="Times New Roman" w:hAnsi="Times New Roman" w:cs="Times New Roman"/>
          <w:u w:val="single" w:color="FFFFFF" w:themeColor="background1"/>
        </w:rPr>
        <w:t xml:space="preserve">, в </w:t>
      </w:r>
      <w:r w:rsidR="00F922DD" w:rsidRPr="0072235B">
        <w:rPr>
          <w:rFonts w:ascii="Times New Roman" w:hAnsi="Times New Roman" w:cs="Times New Roman"/>
          <w:u w:val="single" w:color="FFFFFF" w:themeColor="background1"/>
        </w:rPr>
        <w:t>2021</w:t>
      </w:r>
      <w:r w:rsidR="00F76924" w:rsidRPr="0072235B">
        <w:rPr>
          <w:rFonts w:ascii="Times New Roman" w:hAnsi="Times New Roman" w:cs="Times New Roman"/>
          <w:u w:val="single" w:color="FFFFFF" w:themeColor="background1"/>
        </w:rPr>
        <w:t xml:space="preserve">году </w:t>
      </w:r>
      <w:r w:rsidR="00692FE0" w:rsidRPr="0072235B">
        <w:rPr>
          <w:rFonts w:ascii="Times New Roman" w:hAnsi="Times New Roman" w:cs="Times New Roman"/>
          <w:u w:val="single" w:color="FFFFFF" w:themeColor="background1"/>
        </w:rPr>
        <w:t>-</w:t>
      </w:r>
      <w:r w:rsidR="00F76924" w:rsidRPr="0072235B">
        <w:rPr>
          <w:rFonts w:ascii="Times New Roman" w:hAnsi="Times New Roman" w:cs="Times New Roman"/>
          <w:u w:val="single" w:color="FFFFFF" w:themeColor="background1"/>
        </w:rPr>
        <w:t xml:space="preserve"> </w:t>
      </w:r>
      <w:r w:rsidR="00892D41" w:rsidRPr="0072235B">
        <w:rPr>
          <w:rFonts w:ascii="Times New Roman" w:hAnsi="Times New Roman" w:cs="Times New Roman"/>
          <w:u w:val="single" w:color="FFFFFF" w:themeColor="background1"/>
        </w:rPr>
        <w:t>63,9</w:t>
      </w:r>
      <w:r w:rsidR="00F76924" w:rsidRPr="0072235B">
        <w:rPr>
          <w:rFonts w:ascii="Times New Roman" w:hAnsi="Times New Roman" w:cs="Times New Roman"/>
          <w:u w:val="single" w:color="FFFFFF" w:themeColor="background1"/>
        </w:rPr>
        <w:t xml:space="preserve">%, в </w:t>
      </w:r>
      <w:r w:rsidR="00F922DD" w:rsidRPr="0072235B">
        <w:rPr>
          <w:rFonts w:ascii="Times New Roman" w:hAnsi="Times New Roman" w:cs="Times New Roman"/>
          <w:u w:val="single" w:color="FFFFFF" w:themeColor="background1"/>
        </w:rPr>
        <w:t>2022</w:t>
      </w:r>
      <w:r w:rsidR="00BF3190" w:rsidRPr="0072235B">
        <w:rPr>
          <w:rFonts w:ascii="Times New Roman" w:hAnsi="Times New Roman" w:cs="Times New Roman"/>
          <w:u w:val="single" w:color="FFFFFF" w:themeColor="background1"/>
        </w:rPr>
        <w:t xml:space="preserve"> год</w:t>
      </w:r>
      <w:r w:rsidR="00F76924" w:rsidRPr="0072235B">
        <w:rPr>
          <w:rFonts w:ascii="Times New Roman" w:hAnsi="Times New Roman" w:cs="Times New Roman"/>
          <w:u w:val="single" w:color="FFFFFF" w:themeColor="background1"/>
        </w:rPr>
        <w:t>у</w:t>
      </w:r>
      <w:r w:rsidR="00BF3190" w:rsidRPr="0072235B">
        <w:rPr>
          <w:rFonts w:ascii="Times New Roman" w:hAnsi="Times New Roman" w:cs="Times New Roman"/>
          <w:u w:val="single" w:color="FFFFFF" w:themeColor="background1"/>
        </w:rPr>
        <w:t xml:space="preserve"> – </w:t>
      </w:r>
      <w:r w:rsidR="00892D41" w:rsidRPr="0072235B">
        <w:rPr>
          <w:rFonts w:ascii="Times New Roman" w:hAnsi="Times New Roman" w:cs="Times New Roman"/>
          <w:u w:val="single" w:color="FFFFFF" w:themeColor="background1"/>
        </w:rPr>
        <w:t>66,0</w:t>
      </w:r>
      <w:r w:rsidR="00BF3190" w:rsidRPr="0072235B">
        <w:rPr>
          <w:rFonts w:ascii="Times New Roman" w:hAnsi="Times New Roman" w:cs="Times New Roman"/>
          <w:u w:val="single" w:color="FFFFFF" w:themeColor="background1"/>
        </w:rPr>
        <w:t>%.</w:t>
      </w:r>
    </w:p>
    <w:p w:rsidR="0072235B" w:rsidRDefault="00BF3190" w:rsidP="0072235B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3.Расходы бюджета </w:t>
      </w:r>
      <w:r w:rsidR="0096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Ибресинского</w:t>
      </w:r>
      <w:r w:rsidR="007139F1" w:rsidRPr="00713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  <w:r w:rsidR="00722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235B" w:rsidRDefault="00BF3190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основным приоритетным направлениям развития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постановлению администрации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634331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4331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B41C9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47499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22DD"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DB4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03FEA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основных направлениях бюджетной политики 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0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направлены на 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стабильного социально-экономического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E4749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72235B" w:rsidRDefault="00BF3190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расходов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рекомендованной Минфином России структуре расходов бюджетов субъектов РФ и местных бюджетов  и состоит из </w:t>
      </w:r>
      <w:r w:rsidR="007B6F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 функциональной классификации расходов бюджетной системы РФ. Расходы бюджета рассчитаны исходя из вышеуказанных объемов собственных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безвозмездных поступлений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5B" w:rsidRDefault="00E07A83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для определения объема расходов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 является реестр расходных обязательств.</w:t>
      </w:r>
    </w:p>
    <w:p w:rsidR="0072235B" w:rsidRDefault="00E07A83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расходные обязательства, запланированные в проекте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07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подтверждены соответствующими расчетами.</w:t>
      </w:r>
      <w:r w:rsid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235B" w:rsidRDefault="0072235B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</w:t>
      </w:r>
      <w:r w:rsidR="00083983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</w:t>
      </w:r>
      <w:r w:rsidR="00F922DD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722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сравнению с показателями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меньшатся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4,9 % , или 143,0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3134,1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На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 сравнению с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прогнозируется 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меньшение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805,8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218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3190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составят 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2328,3</w:t>
      </w:r>
      <w:r w:rsidR="000839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2DD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предусмотрено увеличение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предыдущего года на </w:t>
      </w:r>
      <w:r w:rsidR="00426DA9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7,4 % , или на 171,4</w:t>
      </w:r>
      <w:r w:rsidR="00E07A83" w:rsidRPr="00272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0BD8" w:rsidRDefault="00BF3190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динамика расходов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по разделам классификации расходов характеризуется следующими </w:t>
      </w:r>
      <w:r w:rsidRP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данными: </w:t>
      </w:r>
    </w:p>
    <w:p w:rsidR="005B5B25" w:rsidRDefault="005B5B25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25" w:rsidRDefault="005B5B25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25" w:rsidRDefault="005B5B25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25" w:rsidRDefault="005B5B25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25" w:rsidRDefault="005B5B25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25" w:rsidRDefault="005B5B25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25" w:rsidRDefault="005B5B25" w:rsidP="0072235B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108" w:type="dxa"/>
        <w:tblLayout w:type="fixed"/>
        <w:tblLook w:val="01E0"/>
      </w:tblPr>
      <w:tblGrid>
        <w:gridCol w:w="2127"/>
        <w:gridCol w:w="567"/>
        <w:gridCol w:w="1275"/>
        <w:gridCol w:w="851"/>
        <w:gridCol w:w="1134"/>
        <w:gridCol w:w="992"/>
        <w:gridCol w:w="992"/>
        <w:gridCol w:w="851"/>
        <w:gridCol w:w="992"/>
      </w:tblGrid>
      <w:tr w:rsidR="00510BD8" w:rsidRPr="00A322B9" w:rsidTr="00F81CF8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</w:p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РЗ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2019 год (решение о бюджете),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Проект бюджета на: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2022 год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4C7C1F" w:rsidRDefault="00510BD8" w:rsidP="00F81CF8">
            <w:pPr>
              <w:jc w:val="center"/>
              <w:rPr>
                <w:sz w:val="22"/>
                <w:szCs w:val="22"/>
              </w:rPr>
            </w:pPr>
            <w:r w:rsidRPr="004C7C1F">
              <w:rPr>
                <w:sz w:val="22"/>
                <w:szCs w:val="22"/>
              </w:rPr>
              <w:t xml:space="preserve">доля в общем объеме </w:t>
            </w:r>
            <w:proofErr w:type="spellStart"/>
            <w:r w:rsidRPr="004C7C1F">
              <w:rPr>
                <w:sz w:val="22"/>
                <w:szCs w:val="22"/>
              </w:rPr>
              <w:t>расходов,%</w:t>
            </w:r>
            <w:proofErr w:type="spellEnd"/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jc w:val="both"/>
              <w:rPr>
                <w:b/>
                <w:sz w:val="24"/>
                <w:szCs w:val="24"/>
              </w:rPr>
            </w:pPr>
            <w:r w:rsidRPr="00083983">
              <w:rPr>
                <w:b/>
                <w:sz w:val="24"/>
                <w:szCs w:val="24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10BD8" w:rsidRPr="00A322B9" w:rsidTr="00F81CF8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95,6 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74,3 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107,4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/>
                <w:color w:val="000000"/>
              </w:rPr>
            </w:pPr>
            <w:r w:rsidRPr="00743448">
              <w:rPr>
                <w:i/>
                <w:color w:val="000000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46,0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i/>
                <w:color w:val="000000"/>
              </w:rPr>
            </w:pPr>
            <w:r w:rsidRPr="00743448">
              <w:rPr>
                <w:i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i/>
                <w:iCs/>
                <w:color w:val="000000"/>
              </w:rPr>
            </w:pPr>
            <w:r w:rsidRPr="00743448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Cs/>
                <w:color w:val="000000"/>
              </w:rPr>
            </w:pP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0BD8" w:rsidRPr="00743448" w:rsidRDefault="00510BD8" w:rsidP="00F81CF8">
            <w:pPr>
              <w:jc w:val="right"/>
              <w:rPr>
                <w:rFonts w:ascii="Calibri" w:hAnsi="Calibri"/>
                <w:i/>
                <w:color w:val="000000"/>
              </w:rPr>
            </w:pPr>
            <w:r w:rsidRPr="00743448">
              <w:rPr>
                <w:rFonts w:ascii="Calibri" w:hAnsi="Calibri"/>
                <w:i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3,8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i/>
                <w:iCs/>
                <w:color w:val="000000"/>
              </w:rPr>
            </w:pPr>
            <w:r w:rsidRPr="00743448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color w:val="000000"/>
              </w:rPr>
            </w:pPr>
            <w:r w:rsidRPr="0074344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/>
                <w:color w:val="000000"/>
              </w:rPr>
            </w:pPr>
            <w:r w:rsidRPr="00743448">
              <w:rPr>
                <w:i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35,2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i/>
                <w:iCs/>
                <w:color w:val="000000"/>
              </w:rPr>
            </w:pPr>
            <w:r w:rsidRPr="00743448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color w:val="000000"/>
              </w:rPr>
            </w:pPr>
            <w:r w:rsidRPr="0074344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/>
                <w:color w:val="000000"/>
              </w:rPr>
            </w:pPr>
            <w:r w:rsidRPr="00743448">
              <w:rPr>
                <w:i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0,2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i/>
                <w:iCs/>
                <w:color w:val="000000"/>
              </w:rPr>
            </w:pPr>
            <w:r w:rsidRPr="00743448"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rPr>
                <w:i/>
                <w:iCs/>
                <w:color w:val="000000"/>
              </w:rPr>
            </w:pPr>
            <w:r w:rsidRPr="00743448">
              <w:rPr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i/>
                <w:color w:val="000000"/>
              </w:rPr>
            </w:pPr>
            <w:r w:rsidRPr="00743448">
              <w:rPr>
                <w:i/>
                <w:color w:val="000000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43448" w:rsidRDefault="00510BD8" w:rsidP="00F81CF8">
            <w:pPr>
              <w:jc w:val="right"/>
              <w:rPr>
                <w:color w:val="000000"/>
              </w:rPr>
            </w:pPr>
            <w:r w:rsidRPr="00743448">
              <w:rPr>
                <w:color w:val="000000"/>
              </w:rPr>
              <w:t>11,2</w:t>
            </w: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Default="00510BD8" w:rsidP="00F81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10BD8" w:rsidRPr="00A322B9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  <w:r w:rsidRPr="00A322B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A322B9" w:rsidRDefault="00510BD8" w:rsidP="00F81C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10BD8" w:rsidRPr="00083983" w:rsidTr="00F81CF8">
        <w:trPr>
          <w:trHeight w:val="1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  <w:r w:rsidRPr="00083983">
              <w:rPr>
                <w:i/>
                <w:sz w:val="18"/>
                <w:szCs w:val="18"/>
              </w:rPr>
              <w:t>% к предыдущему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083983" w:rsidRDefault="00510BD8" w:rsidP="00F81CF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D8" w:rsidRPr="007C6522" w:rsidRDefault="00510BD8" w:rsidP="00F81CF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510BD8" w:rsidRDefault="00510BD8" w:rsidP="00510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BF3190" w:rsidRDefault="00426DA9" w:rsidP="00A632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</w:t>
      </w:r>
      <w:r w:rsidR="0068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F3190" w:rsidRPr="0068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Общегосударственные расходы»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учтены расходы на функционирование местных администраций, расходы по резервному фонду</w:t>
      </w:r>
      <w:r w:rsidR="005D2674" w:rsidRPr="005D2674">
        <w:t xml:space="preserve"> </w:t>
      </w:r>
      <w:r w:rsidR="005D2674" w:rsidRP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другие общегосударственные вопросы.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на решение задач общегосударственного значения у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меньшатся</w:t>
      </w:r>
      <w:r w:rsidR="005D2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на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40,0% , или 758,1</w:t>
      </w:r>
      <w:r w:rsidR="00BF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1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1353,6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6DA9" w:rsidRDefault="00426DA9" w:rsidP="00A632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по данному разделу на плановый период 2021 и 2021 годы прогнозируются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1154,2 тыс. руб. и 1151,1 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proofErr w:type="spellStart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соответственно.</w:t>
      </w:r>
      <w:r w:rsidR="0042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A632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на общегосударственные вопросы в общей структуре расходов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50100A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– </w:t>
      </w:r>
      <w:r w:rsidR="00B729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–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49,6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2F6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752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10BD8">
        <w:rPr>
          <w:rFonts w:ascii="Times New Roman" w:eastAsia="Times New Roman" w:hAnsi="Times New Roman" w:cs="Times New Roman"/>
          <w:sz w:val="24"/>
          <w:szCs w:val="24"/>
          <w:lang w:eastAsia="ru-RU"/>
        </w:rPr>
        <w:t>46,0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817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713F" w:rsidRPr="005B5B25" w:rsidRDefault="00B72976" w:rsidP="005B5B25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13F">
        <w:rPr>
          <w:rFonts w:ascii="Times New Roman" w:hAnsi="Times New Roman" w:cs="Times New Roman"/>
          <w:sz w:val="24"/>
          <w:szCs w:val="24"/>
        </w:rPr>
        <w:t>Бюджетные ассигнования</w:t>
      </w:r>
      <w:r w:rsidRPr="0030713F">
        <w:rPr>
          <w:rFonts w:ascii="Times New Roman" w:hAnsi="Times New Roman" w:cs="Times New Roman"/>
          <w:b/>
          <w:sz w:val="24"/>
          <w:szCs w:val="24"/>
        </w:rPr>
        <w:t xml:space="preserve">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510BD8" w:rsidRPr="0030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BD8" w:rsidRPr="0030713F">
        <w:rPr>
          <w:rFonts w:ascii="Times New Roman" w:hAnsi="Times New Roman" w:cs="Times New Roman"/>
          <w:sz w:val="24"/>
          <w:szCs w:val="24"/>
        </w:rPr>
        <w:t xml:space="preserve">предусмотрены на   обеспечение реализации муниципальной программы "Развитие потенциала муниципального управления" на содержание  администрации поселения  на 2020 год в сумме 845,0 тыс. рублей  или 27,0 % от общей суммы прогнозируемых расходов, на 2021 год – 855,8 тыс. </w:t>
      </w:r>
      <w:r w:rsidR="00510BD8" w:rsidRPr="005B5B25">
        <w:rPr>
          <w:rFonts w:ascii="Times New Roman" w:hAnsi="Times New Roman" w:cs="Times New Roman"/>
          <w:sz w:val="24"/>
          <w:szCs w:val="24"/>
        </w:rPr>
        <w:t xml:space="preserve">рублей, на 2022 год – 852,8 тыс. рублей. </w:t>
      </w:r>
    </w:p>
    <w:p w:rsidR="0030713F" w:rsidRPr="005B5B25" w:rsidRDefault="00B72976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 </w:t>
      </w:r>
      <w:r w:rsidRPr="005B5B25">
        <w:rPr>
          <w:rFonts w:ascii="Times New Roman" w:hAnsi="Times New Roman" w:cs="Times New Roman"/>
          <w:b/>
          <w:sz w:val="24"/>
          <w:szCs w:val="24"/>
        </w:rPr>
        <w:t xml:space="preserve"> «Резервные фонды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предусмотрены на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  Согласно статье 81 Бюджетного кодекса Российской Федерации </w:t>
      </w:r>
      <w:bookmarkStart w:id="0" w:name="sub_812"/>
      <w:r w:rsidR="0030713F" w:rsidRPr="005B5B25">
        <w:rPr>
          <w:rFonts w:ascii="Times New Roman" w:hAnsi="Times New Roman" w:cs="Times New Roman"/>
          <w:sz w:val="24"/>
          <w:szCs w:val="24"/>
        </w:rPr>
        <w:t xml:space="preserve">размер резервных фондов местных администраций  не может превышать 3 процента общего объема расходов </w:t>
      </w:r>
      <w:proofErr w:type="spellStart"/>
      <w:r w:rsidR="0030713F" w:rsidRPr="005B5B25">
        <w:rPr>
          <w:rFonts w:ascii="Times New Roman" w:hAnsi="Times New Roman" w:cs="Times New Roman"/>
          <w:sz w:val="24"/>
          <w:szCs w:val="24"/>
        </w:rPr>
        <w:t>бюджета.</w:t>
      </w:r>
      <w:bookmarkEnd w:id="0"/>
      <w:r w:rsidR="0030713F" w:rsidRPr="005B5B2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проекте решения на реализацию данной подпрограммы предусмотрены ассигнования на 2020 год в размере 15,0 тыс. рублей, на 2021 год – 15,0 тыс. рублей, на 2022 год – 15,0 тыс. рублей.</w:t>
      </w:r>
    </w:p>
    <w:p w:rsidR="0030713F" w:rsidRDefault="00B72976" w:rsidP="005B5B25">
      <w:pPr>
        <w:pBdr>
          <w:bottom w:val="single" w:sz="12" w:space="31" w:color="auto"/>
        </w:pBdr>
        <w:spacing w:line="240" w:lineRule="auto"/>
        <w:ind w:firstLine="567"/>
        <w:jc w:val="both"/>
      </w:pPr>
      <w:r w:rsidRPr="005B5B25">
        <w:rPr>
          <w:rFonts w:ascii="Times New Roman" w:hAnsi="Times New Roman" w:cs="Times New Roman"/>
          <w:sz w:val="24"/>
          <w:szCs w:val="24"/>
        </w:rPr>
        <w:t xml:space="preserve">Бюджетные ассигнования по подразделу " Другие общегосударственные вопросы" </w:t>
      </w:r>
      <w:r w:rsidR="0030713F" w:rsidRPr="005B5B25">
        <w:rPr>
          <w:rFonts w:ascii="Times New Roman" w:hAnsi="Times New Roman" w:cs="Times New Roman"/>
          <w:sz w:val="24"/>
          <w:szCs w:val="24"/>
        </w:rPr>
        <w:t>предусмотрены на обеспечение реализации муниципальной программы "Развитие потенциала муниципального управления" на содержание административно-хозяйственного персонала на 2020 год в размере 273,2 тыс. рублей или 8,7 % от общей суммы прогнозируемых расходов, на 2021 год – 280,9 тыс. рублей, на 2022 год – 280,9 тыс. рублей, а также на оплату членского взноса в Совет муниципальных образований  на 2020год в размере 2,5 тыс. рублей, на 2021 год – 2,5 тыс. рублей, на 2022 год – 2,5 тыс. рублей</w:t>
      </w:r>
      <w:r w:rsidR="0030713F" w:rsidRPr="002D637D">
        <w:t>.</w:t>
      </w:r>
    </w:p>
    <w:p w:rsidR="0030713F" w:rsidRPr="005B5B25" w:rsidRDefault="00BF3190" w:rsidP="005B5B25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разделу </w:t>
      </w:r>
      <w:r w:rsidR="00681006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81A08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«Национальная оборона»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="007150BE" w:rsidRP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 w:rsidR="00964B8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7150BE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"Управление общественными ф</w:t>
      </w:r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инансами и </w:t>
      </w:r>
      <w:proofErr w:type="spellStart"/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44CF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</w:t>
      </w:r>
      <w:proofErr w:type="spellEnd"/>
      <w:r w:rsidR="0066359D" w:rsidRP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долгом</w:t>
      </w:r>
      <w:r w:rsidR="0030713F" w:rsidRPr="005B5B25">
        <w:rPr>
          <w:rFonts w:ascii="Times New Roman" w:hAnsi="Times New Roman" w:cs="Times New Roman"/>
          <w:sz w:val="24"/>
          <w:szCs w:val="24"/>
        </w:rPr>
        <w:t xml:space="preserve"> бюджетные ассигнования  предусмотрены на  реализацию подпрограммы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долгом".В проекте решения на реализацию данной подпрограммы предусмотрены ассигнования на осуществление первичного учета на территориях, где отсутствуют военные комиссариаты на 2020 год в сумме 89,3 тыс. рублей или 2,8% от общей суммы прогнозируемых расходов, на 2021 год – 90,1 тыс. рублей, на 2022 год – 93,8 тыс. рублей.</w:t>
      </w:r>
    </w:p>
    <w:p w:rsidR="0030713F" w:rsidRDefault="00BF3190" w:rsidP="005B5B25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по данному разделу в общем объеме расходов в 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году составит 2,8 %,  в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21923" w:rsidRP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</w:t>
      </w:r>
      <w:r w:rsidR="00DA7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 </w:t>
      </w:r>
      <w:r w:rsidR="0030713F">
        <w:rPr>
          <w:rFonts w:ascii="Times New Roman" w:eastAsia="Times New Roman" w:hAnsi="Times New Roman" w:cs="Times New Roman"/>
          <w:sz w:val="24"/>
          <w:szCs w:val="24"/>
          <w:lang w:eastAsia="ru-RU"/>
        </w:rPr>
        <w:t>3,9 %  3,8 %  соответственно.</w:t>
      </w:r>
    </w:p>
    <w:p w:rsidR="0030713F" w:rsidRPr="0018122C" w:rsidRDefault="00BF3190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разделу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«Национальная экономика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расходы в рамках муниципальн</w:t>
      </w:r>
      <w:r w:rsidR="0034443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4443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B8D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B353D7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"Развитие транспортной системы</w:t>
      </w:r>
      <w:r w:rsidR="0030713F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30713F" w:rsidRPr="0018122C">
        <w:rPr>
          <w:rFonts w:ascii="Times New Roman" w:hAnsi="Times New Roman" w:cs="Times New Roman"/>
          <w:sz w:val="24"/>
          <w:szCs w:val="24"/>
        </w:rPr>
        <w:t>В проекте решения на реализацию данной подпрограммы предусмотрены на:</w:t>
      </w:r>
    </w:p>
    <w:p w:rsidR="0030713F" w:rsidRPr="0018122C" w:rsidRDefault="0030713F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на 2020 год в сумме 260,2 тыс. рублей или 8,3% от общей суммы прогнозируемых расходов (из них  за счет средств республиканского бюджета на 2019 год в сумме 234,2 тыс. рублей), на 2021 год – 259,1 тыс. рублей (из них  за счет средств республиканского бюджета  в сумме 233,2 тыс. рублей), на 2022 год – 469,1 тыс. рублей  (из них  за счет средств республиканского бюджета в сумме 422,1 тыс. рублей).</w:t>
      </w:r>
    </w:p>
    <w:p w:rsidR="0030713F" w:rsidRPr="0018122C" w:rsidRDefault="0030713F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на 2020 год в сумме 194,1 тыс. рублей или 6,1% от общей суммы прогнозируемых расходов (за счет средств республиканского бюджета в сумме 174,7 тыс. рублей), на 2021 год – 194,1 тыс. рублей (за счет средств республиканского бюджета в сумме 174,7 тыс. рублей), на 2022 год – 194,1 тыс. рублей (за счет средств республиканского бюджета в сумме 174,7 тыс. рублей).</w:t>
      </w:r>
    </w:p>
    <w:p w:rsidR="0030713F" w:rsidRPr="0018122C" w:rsidRDefault="0030713F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- капитальный ремонт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135,5 тыс. рублей или 4,3% от общей суммы прогнозируемых расходов, на 2021 год – 135,3 тыс. рублей, на 2022 год – 152,6 тыс. рублей.</w:t>
      </w:r>
    </w:p>
    <w:p w:rsidR="0030713F" w:rsidRPr="0018122C" w:rsidRDefault="0030713F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-  содержание и ремонт автомобильных дорог общего пользования местного значения в границах населенных пунктов поселений за счет средств бюджета поселения на 2020 год в сумме 101,1 тыс. рублей или 3,2% от общей суммы прогнозируемых расходов, на 2021 год – 101,3 тыс. рублей, на 2022 год – 63,0 тыс. рублей.</w:t>
      </w:r>
    </w:p>
    <w:p w:rsidR="0030713F" w:rsidRPr="0018122C" w:rsidRDefault="0030713F" w:rsidP="005B5B25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по данному разделу в общем объеме расходов в 2020 году составит 22,0 %,  в 2021 и 2022 годах составит 29,6 % и  35,2 %  соответственно.</w:t>
      </w:r>
    </w:p>
    <w:p w:rsidR="007C66B4" w:rsidRPr="007C66B4" w:rsidRDefault="00BF3190" w:rsidP="007C66B4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разделу </w:t>
      </w:r>
      <w:r w:rsidR="00681006" w:rsidRPr="007C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Pr="007C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«Жилищно-коммунальное хозяйство</w:t>
      </w:r>
      <w:r w:rsidR="007150BE" w:rsidRPr="007C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F922DD" w:rsidRPr="007C66B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44437" w:rsidRPr="007C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расходы </w:t>
      </w:r>
      <w:r w:rsidRPr="007C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планируются </w:t>
      </w:r>
      <w:r w:rsidR="007C66B4" w:rsidRPr="007C66B4">
        <w:rPr>
          <w:rFonts w:ascii="Times New Roman" w:hAnsi="Times New Roman" w:cs="Times New Roman"/>
          <w:sz w:val="24"/>
          <w:szCs w:val="24"/>
        </w:rPr>
        <w:t>на  муниципальной программы "Модернизация и развитие сферы жилищно-коммунального хозяйства".</w:t>
      </w:r>
    </w:p>
    <w:p w:rsidR="007C66B4" w:rsidRPr="0018122C" w:rsidRDefault="007C66B4" w:rsidP="007C66B4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6B4">
        <w:rPr>
          <w:rFonts w:ascii="Times New Roman" w:hAnsi="Times New Roman" w:cs="Times New Roman"/>
          <w:sz w:val="24"/>
          <w:szCs w:val="24"/>
        </w:rPr>
        <w:t xml:space="preserve">В проекте решения на реализацию данной программы предусмотрено на обеспечение </w:t>
      </w:r>
      <w:r w:rsidRPr="0018122C">
        <w:rPr>
          <w:rFonts w:ascii="Times New Roman" w:hAnsi="Times New Roman" w:cs="Times New Roman"/>
          <w:sz w:val="24"/>
          <w:szCs w:val="24"/>
        </w:rPr>
        <w:t xml:space="preserve">мероприятий по капитальному ремонту многоквартирных домов, находящихся в собственности муниципального образования на 2020 год в сумме 3,0тыс. рублей, на 2021 год – 3,0 тыс. рублей, на 2022 год – 3,0 тыс. рублей. </w:t>
      </w:r>
    </w:p>
    <w:p w:rsidR="007C66B4" w:rsidRPr="0018122C" w:rsidRDefault="007C66B4" w:rsidP="007C66B4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Кроме того,  на оплату уличного освещения на 2020 год  предусмотрены средства в сумме 130,0 тыс. рублей , на 2021 год – 30,0 тыс. рублей, на 2022 год – 1,7 тыс.рублей.</w:t>
      </w:r>
    </w:p>
    <w:p w:rsidR="007C66B4" w:rsidRPr="0018122C" w:rsidRDefault="007C66B4" w:rsidP="007C66B4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благоустройству территории на 2020 год планируются  9,0 тыс. рублей, на 2021 год – 9,0 тыс. рублей. </w:t>
      </w:r>
    </w:p>
    <w:p w:rsidR="007C66B4" w:rsidRPr="0018122C" w:rsidRDefault="00BA0E35" w:rsidP="0018122C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2C">
        <w:rPr>
          <w:rFonts w:ascii="Times New Roman" w:hAnsi="Times New Roman" w:cs="Times New Roman"/>
          <w:sz w:val="24"/>
          <w:szCs w:val="24"/>
        </w:rPr>
        <w:t xml:space="preserve"> 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указанных расходов в общем объеме расходов бюджета поселения составит в </w:t>
      </w:r>
      <w:r w:rsidR="00F922DD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C66B4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4,5</w:t>
      </w:r>
      <w:r w:rsidR="007150BE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 w:rsidR="007C66B4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1,8</w:t>
      </w:r>
      <w:r w:rsidR="007150BE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</w:t>
      </w:r>
      <w:r w:rsidR="00F922DD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</w:t>
      </w:r>
      <w:r w:rsidR="00136E68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B4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18122C" w:rsidRPr="0018122C" w:rsidRDefault="00BF3190" w:rsidP="0018122C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</w:t>
      </w:r>
      <w:r w:rsidR="00681006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006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="00942B4C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«Культура, кинематография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61B" w:rsidRPr="00181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40561B" w:rsidRPr="0018122C">
        <w:rPr>
          <w:rFonts w:ascii="Times New Roman" w:hAnsi="Times New Roman" w:cs="Times New Roman"/>
          <w:sz w:val="24"/>
          <w:szCs w:val="24"/>
        </w:rPr>
        <w:t xml:space="preserve">юджетные ассигнования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предусмот-рены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на  реализацию подпрограммы "Развитие культуры" муниципальной программы "Развитие культуры и туризма".На обеспечение деятельности учреждений в сфере культурно - </w:t>
      </w:r>
      <w:proofErr w:type="spellStart"/>
      <w:r w:rsidR="0040561B" w:rsidRPr="0018122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40561B" w:rsidRPr="0018122C">
        <w:rPr>
          <w:rFonts w:ascii="Times New Roman" w:hAnsi="Times New Roman" w:cs="Times New Roman"/>
          <w:sz w:val="24"/>
          <w:szCs w:val="24"/>
        </w:rPr>
        <w:t xml:space="preserve"> обслуживания населения на 2020 год  предусмотрены  </w:t>
      </w:r>
      <w:r w:rsidR="007C66B4" w:rsidRPr="0018122C">
        <w:rPr>
          <w:rFonts w:ascii="Times New Roman" w:hAnsi="Times New Roman" w:cs="Times New Roman"/>
          <w:sz w:val="24"/>
          <w:szCs w:val="24"/>
        </w:rPr>
        <w:t>ассигнования  в сумме 331,3 тыс.  рублей , на 2021 год – 306,4 тыс. рублей, на 2022 год – 280,9 тыс. рублей. Из них,  на иные межбюджетные трансферты для перечисления в бюджет Ибресинского района на содержание работников учреждений культуры на 2020 год предусмотрено  280,9 тыс.  рублей, на 2021 год – 280,9 тыс. рублей, на 2022 год – 280,9 тыс. рублей</w:t>
      </w:r>
      <w:r w:rsidR="0018122C" w:rsidRPr="0018122C">
        <w:rPr>
          <w:rFonts w:ascii="Times New Roman" w:hAnsi="Times New Roman" w:cs="Times New Roman"/>
          <w:sz w:val="24"/>
          <w:szCs w:val="24"/>
        </w:rPr>
        <w:t>.</w:t>
      </w:r>
    </w:p>
    <w:p w:rsidR="0018122C" w:rsidRPr="0018122C" w:rsidRDefault="0018122C" w:rsidP="0018122C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На</w:t>
      </w:r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муниципальных учреждений   культурно – </w:t>
      </w:r>
      <w:proofErr w:type="spellStart"/>
      <w:r w:rsidR="007C66B4" w:rsidRPr="0018122C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7C66B4" w:rsidRPr="0018122C">
        <w:rPr>
          <w:rFonts w:ascii="Times New Roman" w:hAnsi="Times New Roman" w:cs="Times New Roman"/>
          <w:sz w:val="24"/>
          <w:szCs w:val="24"/>
        </w:rPr>
        <w:t xml:space="preserve"> типа  предусмотрено на 2020 год в сумме 744,7 тыс.  рублей </w:t>
      </w:r>
      <w:r w:rsidRPr="0018122C">
        <w:rPr>
          <w:rFonts w:ascii="Times New Roman" w:hAnsi="Times New Roman" w:cs="Times New Roman"/>
          <w:sz w:val="24"/>
          <w:szCs w:val="24"/>
        </w:rPr>
        <w:t>.</w:t>
      </w:r>
    </w:p>
    <w:p w:rsidR="0018122C" w:rsidRDefault="0040561B" w:rsidP="0018122C">
      <w:pPr>
        <w:pBdr>
          <w:bottom w:val="single" w:sz="12" w:space="3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 xml:space="preserve">Удельный вес расходов </w:t>
      </w: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указанному разделу в общем объеме расходов на 2020 год </w:t>
      </w:r>
      <w:r w:rsidRPr="0018122C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18122C" w:rsidRPr="0018122C">
        <w:rPr>
          <w:rFonts w:ascii="Times New Roman" w:hAnsi="Times New Roman" w:cs="Times New Roman"/>
          <w:sz w:val="24"/>
          <w:szCs w:val="24"/>
        </w:rPr>
        <w:t>34,3</w:t>
      </w:r>
      <w:r w:rsidRPr="0018122C">
        <w:rPr>
          <w:rFonts w:ascii="Times New Roman" w:hAnsi="Times New Roman" w:cs="Times New Roman"/>
          <w:sz w:val="24"/>
          <w:szCs w:val="24"/>
        </w:rPr>
        <w:t xml:space="preserve">%  , </w:t>
      </w:r>
      <w:r w:rsidR="000565CF" w:rsidRPr="0018122C">
        <w:rPr>
          <w:rFonts w:ascii="Times New Roman" w:hAnsi="Times New Roman" w:cs="Times New Roman"/>
          <w:sz w:val="24"/>
          <w:szCs w:val="24"/>
        </w:rPr>
        <w:t>на</w:t>
      </w:r>
      <w:r w:rsidRPr="0018122C">
        <w:rPr>
          <w:rFonts w:ascii="Times New Roman" w:hAnsi="Times New Roman" w:cs="Times New Roman"/>
          <w:sz w:val="24"/>
          <w:szCs w:val="24"/>
        </w:rPr>
        <w:t xml:space="preserve">  2021 год – </w:t>
      </w:r>
      <w:r w:rsidR="0018122C" w:rsidRPr="0018122C">
        <w:rPr>
          <w:rFonts w:ascii="Times New Roman" w:hAnsi="Times New Roman" w:cs="Times New Roman"/>
          <w:sz w:val="24"/>
          <w:szCs w:val="24"/>
        </w:rPr>
        <w:t>13,2</w:t>
      </w:r>
      <w:r w:rsidRPr="0018122C">
        <w:rPr>
          <w:rFonts w:ascii="Times New Roman" w:hAnsi="Times New Roman" w:cs="Times New Roman"/>
          <w:sz w:val="24"/>
          <w:szCs w:val="24"/>
        </w:rPr>
        <w:t xml:space="preserve">%,  </w:t>
      </w:r>
      <w:r w:rsidR="000565CF" w:rsidRPr="0018122C">
        <w:rPr>
          <w:rFonts w:ascii="Times New Roman" w:hAnsi="Times New Roman" w:cs="Times New Roman"/>
          <w:sz w:val="24"/>
          <w:szCs w:val="24"/>
        </w:rPr>
        <w:t>на</w:t>
      </w:r>
      <w:r w:rsidRPr="0018122C">
        <w:rPr>
          <w:rFonts w:ascii="Times New Roman" w:hAnsi="Times New Roman" w:cs="Times New Roman"/>
          <w:sz w:val="24"/>
          <w:szCs w:val="24"/>
        </w:rPr>
        <w:t xml:space="preserve"> 2022 год – </w:t>
      </w:r>
      <w:r w:rsidR="0018122C" w:rsidRPr="0018122C">
        <w:rPr>
          <w:rFonts w:ascii="Times New Roman" w:hAnsi="Times New Roman" w:cs="Times New Roman"/>
          <w:sz w:val="24"/>
          <w:szCs w:val="24"/>
        </w:rPr>
        <w:t>11,2</w:t>
      </w:r>
      <w:r w:rsidRPr="0018122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8122C" w:rsidRDefault="00240E83" w:rsidP="0018122C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C71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решения на </w:t>
      </w:r>
      <w:r w:rsidR="00F922DD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F3190" w:rsidRP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8122C" w:rsidRPr="0018122C">
        <w:rPr>
          <w:rFonts w:ascii="Times New Roman" w:hAnsi="Times New Roman" w:cs="Times New Roman"/>
          <w:sz w:val="24"/>
          <w:szCs w:val="24"/>
        </w:rPr>
        <w:t>устанавливается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не менее 2,5% общего объема расходов бюджета, на второй год планового периода в объеме не менее 5% общего объема расходов бюджета.</w:t>
      </w:r>
    </w:p>
    <w:p w:rsidR="0018122C" w:rsidRDefault="0018122C" w:rsidP="0018122C">
      <w:pPr>
        <w:pBdr>
          <w:bottom w:val="single" w:sz="12" w:space="3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22C">
        <w:rPr>
          <w:rFonts w:ascii="Times New Roman" w:hAnsi="Times New Roman" w:cs="Times New Roman"/>
          <w:sz w:val="24"/>
          <w:szCs w:val="24"/>
        </w:rPr>
        <w:t>Условно утвержденные расходы предусмотрены в 2021 году в сумме 45,8 тыс. рублей, в 2022 году – 90,5 тыс. рублей.</w:t>
      </w:r>
    </w:p>
    <w:p w:rsidR="005B5B25" w:rsidRDefault="00BF3190" w:rsidP="005B5B25">
      <w:pPr>
        <w:pBdr>
          <w:bottom w:val="single" w:sz="12" w:space="31" w:color="auto"/>
        </w:pBdr>
        <w:spacing w:after="0"/>
        <w:ind w:firstLine="567"/>
        <w:jc w:val="both"/>
      </w:pP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4.Муниципальный долг, дефицит бюджета </w:t>
      </w:r>
      <w:r w:rsidR="00964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Андреевского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источники его финансирования</w:t>
      </w:r>
      <w:r w:rsidR="005B5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122C" w:rsidRPr="0018122C">
        <w:t xml:space="preserve"> </w:t>
      </w:r>
    </w:p>
    <w:p w:rsidR="005B5B25" w:rsidRDefault="00BF3190" w:rsidP="005B5B25">
      <w:pPr>
        <w:pBdr>
          <w:bottom w:val="single" w:sz="12" w:space="31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Предельный объем </w:t>
      </w:r>
      <w:r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долга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в сумме 0,0 тыс. рублей.</w:t>
      </w:r>
    </w:p>
    <w:p w:rsidR="005B5B25" w:rsidRDefault="00BF3190" w:rsidP="005B5B25">
      <w:pPr>
        <w:pBdr>
          <w:bottom w:val="single" w:sz="12" w:space="31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630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предлагается утвердить без дефицита.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B5B25" w:rsidRDefault="005B5B25" w:rsidP="005B5B25">
      <w:pPr>
        <w:pBdr>
          <w:bottom w:val="single" w:sz="12" w:space="31" w:color="auto"/>
        </w:pBdr>
        <w:spacing w:before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F3190" w:rsidRPr="00F11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3190" w:rsidRPr="00F11F4A" w:rsidRDefault="00BF3190" w:rsidP="005B5B25">
      <w:pPr>
        <w:pBdr>
          <w:bottom w:val="single" w:sz="12" w:space="31" w:color="auto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 и материалов, представленных Собранию депутатов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 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Андреевском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3190" w:rsidRPr="00F11F4A" w:rsidRDefault="00BF3190" w:rsidP="00A632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 показателей, представленных для рассмотрения  и утверждения  в проекте решения соответствует требованиям статьи 3</w:t>
      </w:r>
      <w:r w:rsidR="009A1C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регулировании бюджетных правоотношений 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Андреевском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190" w:rsidRDefault="00BF3190" w:rsidP="005B5B2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.Проектом решения предлагается утвердить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3134,1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2328,3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2499,7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37F9" w:rsidRDefault="00BF3190" w:rsidP="00633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</w:t>
      </w:r>
      <w:r w:rsidR="004219F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219FB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3134,1</w:t>
      </w:r>
      <w:r w:rsidR="006337F9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2021 год –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2328,3</w:t>
      </w:r>
      <w:r w:rsid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2022 год – </w:t>
      </w:r>
      <w:r w:rsidR="0018122C">
        <w:rPr>
          <w:rFonts w:ascii="Times New Roman" w:eastAsia="Times New Roman" w:hAnsi="Times New Roman" w:cs="Times New Roman"/>
          <w:sz w:val="24"/>
          <w:szCs w:val="24"/>
          <w:lang w:eastAsia="ru-RU"/>
        </w:rPr>
        <w:t>2499,7</w:t>
      </w:r>
      <w:r w:rsidR="0063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337F9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3190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 утвержденные расходы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45,8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5B5B25">
        <w:rPr>
          <w:rFonts w:ascii="Times New Roman" w:eastAsia="Times New Roman" w:hAnsi="Times New Roman" w:cs="Times New Roman"/>
          <w:sz w:val="24"/>
          <w:szCs w:val="24"/>
          <w:lang w:eastAsia="ru-RU"/>
        </w:rPr>
        <w:t>90,5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Параметры условно утвержденных расходов соответствуют требованиям ст.184.1 Бюджетного кодекса Российской Федерации;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BF3190" w:rsidRPr="00F11F4A" w:rsidRDefault="004110C2" w:rsidP="005B5B2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Контрольно-счетный орган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считает, что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бюджета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22D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77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рассмотрен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обранием</w:t>
      </w:r>
      <w:proofErr w:type="spellEnd"/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депутатов </w:t>
      </w:r>
      <w:r w:rsidR="009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</w:t>
      </w:r>
      <w:r w:rsidR="00630C6D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 </w:t>
      </w:r>
      <w:r w:rsidR="00BF3190"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порядке.  </w:t>
      </w:r>
    </w:p>
    <w:p w:rsidR="00BF3190" w:rsidRPr="00F11F4A" w:rsidRDefault="00BF3190" w:rsidP="00BF31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Контрольно-счетного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</w:t>
      </w:r>
      <w:r w:rsidR="00F53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BF3190" w:rsidRPr="00F11F4A" w:rsidRDefault="00BF3190" w:rsidP="00BF3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11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5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6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Ф.В.Тимофеев</w:t>
      </w:r>
    </w:p>
    <w:p w:rsidR="00BF3190" w:rsidRPr="000B72ED" w:rsidRDefault="00D63A98" w:rsidP="00BF3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F3190">
        <w:rPr>
          <w:rFonts w:ascii="Times New Roman" w:hAnsi="Times New Roman" w:cs="Times New Roman"/>
          <w:sz w:val="24"/>
          <w:szCs w:val="24"/>
        </w:rPr>
        <w:t>.1</w:t>
      </w:r>
      <w:r w:rsidR="00007985">
        <w:rPr>
          <w:rFonts w:ascii="Times New Roman" w:hAnsi="Times New Roman" w:cs="Times New Roman"/>
          <w:sz w:val="24"/>
          <w:szCs w:val="24"/>
        </w:rPr>
        <w:t>1</w:t>
      </w:r>
      <w:r w:rsidR="00BF3190">
        <w:rPr>
          <w:rFonts w:ascii="Times New Roman" w:hAnsi="Times New Roman" w:cs="Times New Roman"/>
          <w:sz w:val="24"/>
          <w:szCs w:val="24"/>
        </w:rPr>
        <w:t>.</w:t>
      </w:r>
      <w:r w:rsidR="00F922DD">
        <w:rPr>
          <w:rFonts w:ascii="Times New Roman" w:hAnsi="Times New Roman" w:cs="Times New Roman"/>
          <w:sz w:val="24"/>
          <w:szCs w:val="24"/>
        </w:rPr>
        <w:t>2019</w:t>
      </w:r>
    </w:p>
    <w:sectPr w:rsidR="00BF3190" w:rsidRPr="000B72ED" w:rsidSect="00564C6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E2F" w:rsidRDefault="00702E2F" w:rsidP="00B1668B">
      <w:pPr>
        <w:spacing w:after="0" w:line="240" w:lineRule="auto"/>
      </w:pPr>
      <w:r>
        <w:separator/>
      </w:r>
    </w:p>
  </w:endnote>
  <w:endnote w:type="continuationSeparator" w:id="0">
    <w:p w:rsidR="00702E2F" w:rsidRDefault="00702E2F" w:rsidP="00B1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E2F" w:rsidRDefault="00702E2F" w:rsidP="00B1668B">
      <w:pPr>
        <w:spacing w:after="0" w:line="240" w:lineRule="auto"/>
      </w:pPr>
      <w:r>
        <w:separator/>
      </w:r>
    </w:p>
  </w:footnote>
  <w:footnote w:type="continuationSeparator" w:id="0">
    <w:p w:rsidR="00702E2F" w:rsidRDefault="00702E2F" w:rsidP="00B1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D95"/>
    <w:rsid w:val="0000150F"/>
    <w:rsid w:val="000016BA"/>
    <w:rsid w:val="00007985"/>
    <w:rsid w:val="00036767"/>
    <w:rsid w:val="0004144C"/>
    <w:rsid w:val="00042891"/>
    <w:rsid w:val="000565CF"/>
    <w:rsid w:val="00063062"/>
    <w:rsid w:val="00070853"/>
    <w:rsid w:val="00070C59"/>
    <w:rsid w:val="000744B9"/>
    <w:rsid w:val="0007594B"/>
    <w:rsid w:val="00076064"/>
    <w:rsid w:val="00082CC8"/>
    <w:rsid w:val="00082E7D"/>
    <w:rsid w:val="00083983"/>
    <w:rsid w:val="00092025"/>
    <w:rsid w:val="00093D75"/>
    <w:rsid w:val="000C1F1C"/>
    <w:rsid w:val="000C4EEB"/>
    <w:rsid w:val="000C773C"/>
    <w:rsid w:val="000D6F88"/>
    <w:rsid w:val="000E4AF7"/>
    <w:rsid w:val="00104BC5"/>
    <w:rsid w:val="00123F68"/>
    <w:rsid w:val="00136E68"/>
    <w:rsid w:val="00140F45"/>
    <w:rsid w:val="00147411"/>
    <w:rsid w:val="001510D3"/>
    <w:rsid w:val="0015765C"/>
    <w:rsid w:val="00162E87"/>
    <w:rsid w:val="00163254"/>
    <w:rsid w:val="0018122C"/>
    <w:rsid w:val="001816CA"/>
    <w:rsid w:val="001842CA"/>
    <w:rsid w:val="001A0E23"/>
    <w:rsid w:val="001D05CC"/>
    <w:rsid w:val="00200405"/>
    <w:rsid w:val="0023175C"/>
    <w:rsid w:val="00240E83"/>
    <w:rsid w:val="002464FA"/>
    <w:rsid w:val="002654BF"/>
    <w:rsid w:val="00271D79"/>
    <w:rsid w:val="00272218"/>
    <w:rsid w:val="00291152"/>
    <w:rsid w:val="00294399"/>
    <w:rsid w:val="002B41C3"/>
    <w:rsid w:val="002B4369"/>
    <w:rsid w:val="002B4D95"/>
    <w:rsid w:val="002C0229"/>
    <w:rsid w:val="002C5B93"/>
    <w:rsid w:val="002C7A96"/>
    <w:rsid w:val="002D7C4B"/>
    <w:rsid w:val="002F6DC9"/>
    <w:rsid w:val="002F7421"/>
    <w:rsid w:val="0030713F"/>
    <w:rsid w:val="00321189"/>
    <w:rsid w:val="0032598E"/>
    <w:rsid w:val="00337962"/>
    <w:rsid w:val="00344437"/>
    <w:rsid w:val="00352690"/>
    <w:rsid w:val="0035748D"/>
    <w:rsid w:val="00360E0D"/>
    <w:rsid w:val="0036455D"/>
    <w:rsid w:val="0037526F"/>
    <w:rsid w:val="0037772C"/>
    <w:rsid w:val="003804B9"/>
    <w:rsid w:val="00381A08"/>
    <w:rsid w:val="00391901"/>
    <w:rsid w:val="003979FD"/>
    <w:rsid w:val="003A037C"/>
    <w:rsid w:val="003C29F6"/>
    <w:rsid w:val="003C2E26"/>
    <w:rsid w:val="003E1B8B"/>
    <w:rsid w:val="003E3B2D"/>
    <w:rsid w:val="003F0895"/>
    <w:rsid w:val="0040561B"/>
    <w:rsid w:val="004110C2"/>
    <w:rsid w:val="00416004"/>
    <w:rsid w:val="004219FB"/>
    <w:rsid w:val="00422E59"/>
    <w:rsid w:val="00426DA9"/>
    <w:rsid w:val="00427294"/>
    <w:rsid w:val="00441CAB"/>
    <w:rsid w:val="00467B69"/>
    <w:rsid w:val="00483522"/>
    <w:rsid w:val="00497C3A"/>
    <w:rsid w:val="004B13AD"/>
    <w:rsid w:val="004C308D"/>
    <w:rsid w:val="004C7C1F"/>
    <w:rsid w:val="004E5AAC"/>
    <w:rsid w:val="004E7214"/>
    <w:rsid w:val="0050100A"/>
    <w:rsid w:val="005050D8"/>
    <w:rsid w:val="00507A20"/>
    <w:rsid w:val="00510BD8"/>
    <w:rsid w:val="00511C71"/>
    <w:rsid w:val="005132AF"/>
    <w:rsid w:val="00515ACA"/>
    <w:rsid w:val="00516353"/>
    <w:rsid w:val="00540DA7"/>
    <w:rsid w:val="00541875"/>
    <w:rsid w:val="00564C6F"/>
    <w:rsid w:val="00574AF1"/>
    <w:rsid w:val="005A25BE"/>
    <w:rsid w:val="005B5B25"/>
    <w:rsid w:val="005C08DF"/>
    <w:rsid w:val="005C3245"/>
    <w:rsid w:val="005C7B50"/>
    <w:rsid w:val="005D2674"/>
    <w:rsid w:val="005E1E5C"/>
    <w:rsid w:val="005E39AC"/>
    <w:rsid w:val="005F5F33"/>
    <w:rsid w:val="00630C6D"/>
    <w:rsid w:val="006337F9"/>
    <w:rsid w:val="00634331"/>
    <w:rsid w:val="00635885"/>
    <w:rsid w:val="00654E10"/>
    <w:rsid w:val="00655474"/>
    <w:rsid w:val="00655DFD"/>
    <w:rsid w:val="0066359D"/>
    <w:rsid w:val="00666B58"/>
    <w:rsid w:val="00681006"/>
    <w:rsid w:val="00691CFC"/>
    <w:rsid w:val="00692FE0"/>
    <w:rsid w:val="006A21B7"/>
    <w:rsid w:val="006A3587"/>
    <w:rsid w:val="006A7DC1"/>
    <w:rsid w:val="006B5827"/>
    <w:rsid w:val="006C0A64"/>
    <w:rsid w:val="006C1974"/>
    <w:rsid w:val="006D21E0"/>
    <w:rsid w:val="006E2AFA"/>
    <w:rsid w:val="00702E2F"/>
    <w:rsid w:val="007046A9"/>
    <w:rsid w:val="007139F1"/>
    <w:rsid w:val="007150BE"/>
    <w:rsid w:val="0072039F"/>
    <w:rsid w:val="0072217C"/>
    <w:rsid w:val="0072235B"/>
    <w:rsid w:val="00722BB5"/>
    <w:rsid w:val="007336DB"/>
    <w:rsid w:val="007416D1"/>
    <w:rsid w:val="0074252B"/>
    <w:rsid w:val="00743448"/>
    <w:rsid w:val="007563E3"/>
    <w:rsid w:val="007575CA"/>
    <w:rsid w:val="007613AC"/>
    <w:rsid w:val="007662BA"/>
    <w:rsid w:val="00774997"/>
    <w:rsid w:val="0078570D"/>
    <w:rsid w:val="00790BB7"/>
    <w:rsid w:val="007A40C5"/>
    <w:rsid w:val="007B5F1E"/>
    <w:rsid w:val="007B6FDC"/>
    <w:rsid w:val="007C6219"/>
    <w:rsid w:val="007C63B1"/>
    <w:rsid w:val="007C6522"/>
    <w:rsid w:val="007C66B4"/>
    <w:rsid w:val="007E4C78"/>
    <w:rsid w:val="007E5A2D"/>
    <w:rsid w:val="00801008"/>
    <w:rsid w:val="00803FEA"/>
    <w:rsid w:val="00817E68"/>
    <w:rsid w:val="00821923"/>
    <w:rsid w:val="00830C0E"/>
    <w:rsid w:val="00836AE5"/>
    <w:rsid w:val="00845D4A"/>
    <w:rsid w:val="00850A9B"/>
    <w:rsid w:val="00865A7D"/>
    <w:rsid w:val="00866E6F"/>
    <w:rsid w:val="00870D48"/>
    <w:rsid w:val="0088098D"/>
    <w:rsid w:val="00892D41"/>
    <w:rsid w:val="008A77E8"/>
    <w:rsid w:val="008C2028"/>
    <w:rsid w:val="008C78F3"/>
    <w:rsid w:val="008E2A20"/>
    <w:rsid w:val="00931E42"/>
    <w:rsid w:val="00942B4C"/>
    <w:rsid w:val="00943DBA"/>
    <w:rsid w:val="00951B74"/>
    <w:rsid w:val="00951D39"/>
    <w:rsid w:val="00960813"/>
    <w:rsid w:val="00964B8D"/>
    <w:rsid w:val="00970E23"/>
    <w:rsid w:val="009A1C28"/>
    <w:rsid w:val="009A37FF"/>
    <w:rsid w:val="009B52E0"/>
    <w:rsid w:val="009C1BCC"/>
    <w:rsid w:val="009C2909"/>
    <w:rsid w:val="009C7D79"/>
    <w:rsid w:val="009D0320"/>
    <w:rsid w:val="00A03BE3"/>
    <w:rsid w:val="00A057DF"/>
    <w:rsid w:val="00A2545E"/>
    <w:rsid w:val="00A36510"/>
    <w:rsid w:val="00A632A6"/>
    <w:rsid w:val="00A724EA"/>
    <w:rsid w:val="00A76A58"/>
    <w:rsid w:val="00A927AD"/>
    <w:rsid w:val="00A94595"/>
    <w:rsid w:val="00AB31CF"/>
    <w:rsid w:val="00AE25DC"/>
    <w:rsid w:val="00AF42CD"/>
    <w:rsid w:val="00AF6677"/>
    <w:rsid w:val="00B01C52"/>
    <w:rsid w:val="00B06073"/>
    <w:rsid w:val="00B0689B"/>
    <w:rsid w:val="00B07C1F"/>
    <w:rsid w:val="00B1668B"/>
    <w:rsid w:val="00B232C0"/>
    <w:rsid w:val="00B353D7"/>
    <w:rsid w:val="00B357C3"/>
    <w:rsid w:val="00B43D19"/>
    <w:rsid w:val="00B51C1F"/>
    <w:rsid w:val="00B66004"/>
    <w:rsid w:val="00B72976"/>
    <w:rsid w:val="00B7334C"/>
    <w:rsid w:val="00B853CD"/>
    <w:rsid w:val="00BA0E35"/>
    <w:rsid w:val="00BB3DF8"/>
    <w:rsid w:val="00BC7E0F"/>
    <w:rsid w:val="00BF3190"/>
    <w:rsid w:val="00C21EA4"/>
    <w:rsid w:val="00C55E0A"/>
    <w:rsid w:val="00C56C50"/>
    <w:rsid w:val="00C641CF"/>
    <w:rsid w:val="00C72587"/>
    <w:rsid w:val="00C80A3B"/>
    <w:rsid w:val="00C822B0"/>
    <w:rsid w:val="00C971C9"/>
    <w:rsid w:val="00CA70EC"/>
    <w:rsid w:val="00CC5CA0"/>
    <w:rsid w:val="00CC795E"/>
    <w:rsid w:val="00CC7AB5"/>
    <w:rsid w:val="00CE1096"/>
    <w:rsid w:val="00CE3499"/>
    <w:rsid w:val="00CE4FC0"/>
    <w:rsid w:val="00D07636"/>
    <w:rsid w:val="00D118EA"/>
    <w:rsid w:val="00D137F0"/>
    <w:rsid w:val="00D170C1"/>
    <w:rsid w:val="00D417B1"/>
    <w:rsid w:val="00D43508"/>
    <w:rsid w:val="00D5479C"/>
    <w:rsid w:val="00D54B45"/>
    <w:rsid w:val="00D61B49"/>
    <w:rsid w:val="00D63A98"/>
    <w:rsid w:val="00D76A4C"/>
    <w:rsid w:val="00D778E7"/>
    <w:rsid w:val="00D844CF"/>
    <w:rsid w:val="00DA730C"/>
    <w:rsid w:val="00DB41C9"/>
    <w:rsid w:val="00E00749"/>
    <w:rsid w:val="00E02E32"/>
    <w:rsid w:val="00E07A83"/>
    <w:rsid w:val="00E10833"/>
    <w:rsid w:val="00E13A6A"/>
    <w:rsid w:val="00E33644"/>
    <w:rsid w:val="00E34EAE"/>
    <w:rsid w:val="00E47499"/>
    <w:rsid w:val="00E61B3F"/>
    <w:rsid w:val="00E62C64"/>
    <w:rsid w:val="00E70FCC"/>
    <w:rsid w:val="00E76557"/>
    <w:rsid w:val="00E82256"/>
    <w:rsid w:val="00E83F80"/>
    <w:rsid w:val="00E96867"/>
    <w:rsid w:val="00EB7DCC"/>
    <w:rsid w:val="00EC0BCF"/>
    <w:rsid w:val="00EE5D07"/>
    <w:rsid w:val="00EF2D4C"/>
    <w:rsid w:val="00EF5A01"/>
    <w:rsid w:val="00F13994"/>
    <w:rsid w:val="00F1775F"/>
    <w:rsid w:val="00F27429"/>
    <w:rsid w:val="00F521EE"/>
    <w:rsid w:val="00F53694"/>
    <w:rsid w:val="00F543F4"/>
    <w:rsid w:val="00F63343"/>
    <w:rsid w:val="00F656FC"/>
    <w:rsid w:val="00F67F03"/>
    <w:rsid w:val="00F70C08"/>
    <w:rsid w:val="00F76924"/>
    <w:rsid w:val="00F8591E"/>
    <w:rsid w:val="00F922DD"/>
    <w:rsid w:val="00F948EB"/>
    <w:rsid w:val="00FA6DE8"/>
    <w:rsid w:val="00FB34BA"/>
    <w:rsid w:val="00FB59F9"/>
    <w:rsid w:val="00FB6367"/>
    <w:rsid w:val="00FD4981"/>
    <w:rsid w:val="00FE04AE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  <w:style w:type="paragraph" w:styleId="aa">
    <w:name w:val="Title"/>
    <w:basedOn w:val="a"/>
    <w:link w:val="ab"/>
    <w:qFormat/>
    <w:rsid w:val="00294399"/>
    <w:pPr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294399"/>
    <w:rPr>
      <w:rFonts w:ascii="TimesET" w:eastAsia="Times New Roman" w:hAnsi="TimesET" w:cs="Times New Roman"/>
      <w:b/>
      <w:sz w:val="24"/>
      <w:szCs w:val="20"/>
      <w:lang w:eastAsia="ru-RU"/>
    </w:rPr>
  </w:style>
  <w:style w:type="paragraph" w:styleId="ac">
    <w:name w:val="No Spacing"/>
    <w:uiPriority w:val="1"/>
    <w:qFormat/>
    <w:rsid w:val="00294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Стиль1"/>
    <w:basedOn w:val="a"/>
    <w:link w:val="11"/>
    <w:qFormat/>
    <w:rsid w:val="00A632A6"/>
    <w:pPr>
      <w:pBdr>
        <w:bottom w:val="single" w:sz="12" w:space="21" w:color="auto"/>
      </w:pBd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10"/>
    <w:link w:val="20"/>
    <w:qFormat/>
    <w:rsid w:val="00A632A6"/>
  </w:style>
  <w:style w:type="character" w:customStyle="1" w:styleId="11">
    <w:name w:val="Стиль1 Знак"/>
    <w:basedOn w:val="a0"/>
    <w:link w:val="10"/>
    <w:rsid w:val="00A632A6"/>
    <w:rPr>
      <w:rFonts w:ascii="Times New Roman" w:hAnsi="Times New Roman" w:cs="Times New Roman"/>
      <w:sz w:val="24"/>
      <w:szCs w:val="24"/>
    </w:rPr>
  </w:style>
  <w:style w:type="paragraph" w:customStyle="1" w:styleId="3">
    <w:name w:val="Стиль3"/>
    <w:basedOn w:val="2"/>
    <w:link w:val="30"/>
    <w:qFormat/>
    <w:rsid w:val="00A632A6"/>
    <w:rPr>
      <w:rFonts w:eastAsia="Times New Roman"/>
      <w:lang w:eastAsia="ru-RU"/>
    </w:rPr>
  </w:style>
  <w:style w:type="character" w:customStyle="1" w:styleId="20">
    <w:name w:val="Стиль2 Знак"/>
    <w:basedOn w:val="11"/>
    <w:link w:val="2"/>
    <w:rsid w:val="00A632A6"/>
  </w:style>
  <w:style w:type="character" w:customStyle="1" w:styleId="30">
    <w:name w:val="Стиль3 Знак"/>
    <w:basedOn w:val="20"/>
    <w:link w:val="3"/>
    <w:rsid w:val="00A632A6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3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F3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B"/>
  </w:style>
  <w:style w:type="paragraph" w:styleId="a8">
    <w:name w:val="footer"/>
    <w:basedOn w:val="a"/>
    <w:link w:val="a9"/>
    <w:uiPriority w:val="99"/>
    <w:unhideWhenUsed/>
    <w:rsid w:val="00B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11BDA-88C4-453A-865D-86D8501D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kco1</dc:creator>
  <cp:lastModifiedBy>ibrkso</cp:lastModifiedBy>
  <cp:revision>2</cp:revision>
  <cp:lastPrinted>2019-12-11T11:06:00Z</cp:lastPrinted>
  <dcterms:created xsi:type="dcterms:W3CDTF">2020-01-21T08:01:00Z</dcterms:created>
  <dcterms:modified xsi:type="dcterms:W3CDTF">2020-01-21T08:01:00Z</dcterms:modified>
</cp:coreProperties>
</file>