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A11152" w:rsidRPr="0098106F" w:rsidTr="00A11152">
        <w:trPr>
          <w:cantSplit/>
          <w:trHeight w:val="435"/>
        </w:trPr>
        <w:tc>
          <w:tcPr>
            <w:tcW w:w="4195" w:type="dxa"/>
          </w:tcPr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9810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06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A11152" w:rsidRPr="0098106F" w:rsidRDefault="00A11152" w:rsidP="00A1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A11152" w:rsidRPr="0098106F" w:rsidRDefault="00A11152" w:rsidP="00A11152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</w:p>
          <w:p w:rsidR="00A11152" w:rsidRPr="0098106F" w:rsidRDefault="00A11152" w:rsidP="00A11152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A11152" w:rsidRPr="0098106F" w:rsidTr="00A11152">
        <w:trPr>
          <w:cantSplit/>
          <w:trHeight w:val="2325"/>
        </w:trPr>
        <w:tc>
          <w:tcPr>
            <w:tcW w:w="4195" w:type="dxa"/>
          </w:tcPr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11152" w:rsidRPr="0098106F" w:rsidRDefault="00A11152" w:rsidP="00A1115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11152" w:rsidRPr="0098106F" w:rsidRDefault="00A11152" w:rsidP="00A11152">
            <w:pPr>
              <w:jc w:val="center"/>
              <w:rPr>
                <w:sz w:val="24"/>
                <w:szCs w:val="24"/>
              </w:rPr>
            </w:pPr>
          </w:p>
          <w:p w:rsidR="00A11152" w:rsidRPr="0098106F" w:rsidRDefault="00A11152" w:rsidP="00A11152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505E68" w:rsidRPr="00505E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</w:t>
            </w:r>
            <w:r w:rsidR="00505E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.03.2020</w:t>
            </w:r>
            <w:r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05E6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181</w:t>
            </w:r>
          </w:p>
          <w:p w:rsidR="00A11152" w:rsidRPr="0098106F" w:rsidRDefault="00A11152" w:rsidP="00A1115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A11152" w:rsidRPr="0098106F" w:rsidRDefault="00A11152" w:rsidP="00A11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A11152" w:rsidRPr="0098106F" w:rsidRDefault="00A11152" w:rsidP="00A1115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11152" w:rsidRPr="0098106F" w:rsidRDefault="00A11152" w:rsidP="00A1115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A11152" w:rsidRPr="0098106F" w:rsidRDefault="00A11152" w:rsidP="00A11152">
            <w:pPr>
              <w:jc w:val="center"/>
              <w:rPr>
                <w:sz w:val="24"/>
                <w:szCs w:val="24"/>
              </w:rPr>
            </w:pPr>
          </w:p>
          <w:p w:rsidR="00A11152" w:rsidRPr="0098106F" w:rsidRDefault="00A11152" w:rsidP="00A11152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11152" w:rsidRPr="0098106F" w:rsidRDefault="00A11152" w:rsidP="00A1115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A11152" w:rsidRPr="0098106F" w:rsidRDefault="00505E68" w:rsidP="00A11152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17.03.2020 </w:t>
            </w:r>
            <w:r w:rsidR="00A11152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№</w:t>
            </w:r>
            <w:r w:rsidR="00A111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181</w:t>
            </w:r>
          </w:p>
          <w:p w:rsidR="00A11152" w:rsidRPr="0098106F" w:rsidRDefault="00A11152" w:rsidP="00A111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администрации Ибресинского района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08.12.2017 </w:t>
      </w:r>
      <w:r w:rsidRPr="0098106F">
        <w:rPr>
          <w:rFonts w:ascii="Times New Roman" w:hAnsi="Times New Roman" w:cs="Times New Roman"/>
          <w:b/>
          <w:sz w:val="24"/>
          <w:szCs w:val="24"/>
        </w:rPr>
        <w:t xml:space="preserve">№ 725 "Об   утверждении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администрации     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Ибресинского         района «Формирование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>современной городской среды на 201</w:t>
      </w:r>
      <w:r>
        <w:rPr>
          <w:rFonts w:ascii="Times New Roman" w:hAnsi="Times New Roman" w:cs="Times New Roman"/>
          <w:b/>
          <w:sz w:val="24"/>
          <w:szCs w:val="24"/>
        </w:rPr>
        <w:t>8–2024</w:t>
      </w:r>
      <w:r w:rsidRPr="0098106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t xml:space="preserve">с </w:t>
      </w:r>
      <w:r w:rsidRPr="0098106F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льным законом от 06.10.2003 </w:t>
      </w:r>
      <w:r w:rsidRPr="0098106F">
        <w:rPr>
          <w:rFonts w:ascii="Times New Roman" w:hAnsi="Times New Roman" w:cs="Times New Roman"/>
          <w:sz w:val="24"/>
          <w:szCs w:val="24"/>
        </w:rPr>
        <w:t xml:space="preserve"> № 131 "Об общих принципах орган</w:t>
      </w:r>
      <w:r>
        <w:rPr>
          <w:rFonts w:ascii="Times New Roman" w:hAnsi="Times New Roman" w:cs="Times New Roman"/>
          <w:sz w:val="24"/>
          <w:szCs w:val="24"/>
        </w:rPr>
        <w:t>изации местного самоуправления в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Российской Федерации",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10.02.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169 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Ибресинского района </w:t>
      </w:r>
      <w:r w:rsidRPr="0098106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11152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810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98106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Ибресинского района от 08.12.2017 № 725 "</w:t>
      </w:r>
      <w:bookmarkStart w:id="1" w:name="sub_4"/>
      <w:bookmarkEnd w:id="0"/>
      <w:r w:rsidRPr="0098106F">
        <w:rPr>
          <w:sz w:val="24"/>
          <w:szCs w:val="24"/>
        </w:rPr>
        <w:t xml:space="preserve"> </w:t>
      </w:r>
      <w:r w:rsidRPr="0098106F">
        <w:rPr>
          <w:rFonts w:ascii="Times New Roman" w:hAnsi="Times New Roman" w:cs="Times New Roman"/>
          <w:sz w:val="24"/>
          <w:szCs w:val="24"/>
        </w:rPr>
        <w:t>Об   утверждении муниципальной программы администрации      Ибресинского         района «Формирование современ</w:t>
      </w:r>
      <w:r>
        <w:rPr>
          <w:rFonts w:ascii="Times New Roman" w:hAnsi="Times New Roman" w:cs="Times New Roman"/>
          <w:sz w:val="24"/>
          <w:szCs w:val="24"/>
        </w:rPr>
        <w:t>ной городской среды на 2018–2024</w:t>
      </w:r>
      <w:r w:rsidRPr="0098106F">
        <w:rPr>
          <w:rFonts w:ascii="Times New Roman" w:hAnsi="Times New Roman" w:cs="Times New Roman"/>
          <w:sz w:val="24"/>
          <w:szCs w:val="24"/>
        </w:rPr>
        <w:t xml:space="preserve"> годы» (далее - постановление) следующие изменения:</w:t>
      </w: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98106F">
        <w:rPr>
          <w:rFonts w:ascii="Times New Roman" w:hAnsi="Times New Roman" w:cs="Times New Roman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98106F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 его </w:t>
      </w:r>
      <w:hyperlink r:id="rId7" w:history="1">
        <w:r w:rsidRPr="009810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981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                                                                                   С.В. Горбунов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Ю.В.</w:t>
      </w:r>
    </w:p>
    <w:p w:rsidR="00A11152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 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Ибресинского района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       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«Формирование современной городской среды</w:t>
      </w: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2018–2024 годы»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 А С П О Р Т</w:t>
      </w: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11152" w:rsidRPr="0098106F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 района Чувашской Республики  на 2018 -2024годы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A11152" w:rsidRPr="0098106F" w:rsidTr="00A1115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</w:t>
            </w:r>
          </w:p>
        </w:tc>
      </w:tr>
      <w:tr w:rsidR="00A11152" w:rsidRPr="0098106F" w:rsidTr="00A1115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Финансовый отдел администрации Ибресинского района, отдел строительства и развития общественной инфраструктуры  администрации Ибресинского района, организации ЖКХ Ибресинского района (по согласованию), администрация Ибресинского городского поселения (по согласованию), администрация </w:t>
            </w: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Буинского</w:t>
            </w:r>
            <w:proofErr w:type="spell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(по согласованию), администрация Новочурашевского сельского поселения (по согласованию), администрация Хормалинского сельского поселения (по согласованию)</w:t>
            </w:r>
          </w:p>
        </w:tc>
      </w:tr>
      <w:tr w:rsidR="00A11152" w:rsidRPr="0098106F" w:rsidTr="00A1115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2018–2024 годов комплекса мероприятий по благоустройству территорий муниципальных образований</w:t>
            </w:r>
          </w:p>
        </w:tc>
      </w:tr>
      <w:tr w:rsidR="00A11152" w:rsidRPr="0098106F" w:rsidTr="00A1115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муниципальных образований; 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A11152" w:rsidRPr="0098106F" w:rsidTr="00A1115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>Ибресинского  района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 -26;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-5чел. </w:t>
            </w:r>
          </w:p>
        </w:tc>
      </w:tr>
      <w:tr w:rsidR="00A11152" w:rsidRPr="0098106F" w:rsidTr="00A1115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2018 -2024 годы</w:t>
            </w:r>
          </w:p>
        </w:tc>
      </w:tr>
      <w:tr w:rsidR="00A11152" w:rsidRPr="0098106F" w:rsidTr="00A1115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Программы составляет </w:t>
            </w:r>
            <w:r w:rsidR="0055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43518,8</w:t>
            </w:r>
            <w:r w:rsidRPr="0098106F">
              <w:rPr>
                <w:color w:val="000000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55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42867,7</w:t>
            </w:r>
            <w:r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-  </w:t>
            </w:r>
            <w:r w:rsidR="0055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440,7</w:t>
            </w:r>
            <w:r w:rsidR="001B1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бюджет- </w:t>
            </w:r>
            <w:r w:rsidR="0055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210,5</w:t>
            </w:r>
            <w:r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прогнозируемые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меро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муниципальной программы в 2018–2024 годах составляют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75383,5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5888,9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6624,3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37911,2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6046,5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6304,2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6304,2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6304,2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средства: </w:t>
            </w:r>
          </w:p>
          <w:p w:rsidR="00A11152" w:rsidRPr="0098106F" w:rsidRDefault="001B1737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бюджета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42867,7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5535,6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1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6571,8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5998,7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5998,7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6254,3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6254,3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6254,3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Чувашской Республики –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30696,1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176,7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1B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30297,8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  <w:r w:rsidR="005532D1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55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–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1819,8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176,7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5,9  тыс. рублей;</w:t>
            </w:r>
          </w:p>
          <w:p w:rsidR="00A11152" w:rsidRPr="0098106F" w:rsidRDefault="005532D1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186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1614,7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5532D1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5,4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5532D1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5,7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5532D1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5,7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5532D1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5,7</w:t>
            </w:r>
            <w:r w:rsidR="00A11152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0,0 тыс. рублей, в том числе: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0,0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 тыс. рублей;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 тыс. рублей.</w:t>
            </w:r>
          </w:p>
        </w:tc>
      </w:tr>
      <w:tr w:rsidR="00A11152" w:rsidRPr="0098106F" w:rsidTr="00A1115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(городских парков).</w:t>
            </w:r>
          </w:p>
        </w:tc>
      </w:tr>
    </w:tbl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I.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сектора благоустройства   на территории Ибресинского района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Ибресинском районе  79 многоквартирных домов.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дворов, образуемых группой многоквартирных домов жилой застройки, -72 шт.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асфальтового покрытия на данных дворовых территориях –9,012 тыс.кв.м.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 в 2018 году, необходимо выполнить устройство благоустроенной площади в общественно-деловом  п. Ибреси для проведения массовых мероприятий в соответствии  с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дворовых территорий в соответствии с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дизайн-проектами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дворах недостаточное количество стоянок для личного транспорта, недостаточно благоустроены детские и спортивные площадки, нет мест для отдыха взрослой группы населения, зачастую отсутствует уход за зелеными насаждениями, которые представляют собой переросшие, изуродованные деревья, практически отсутствуют газоны.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имеет большое значение развитие благоустройства территорий, как объектов внешнего благоустройства, так и благоустройства внутриквартальных и дворовых территорий.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данных работ по ремонту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 именно программным методом.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II.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 политики в сфере благоустройства, цели и задачи</w:t>
      </w: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достижения целей и задач, срок и этапы реализации программы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 программы определены: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7 мая 2012 г. № 600 «О мерах по обеспечению граждан Российской Федерации доступным и современным жильем и повышению качества жилищно-коммунальных услуг»;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Чувашской Республики от 4 июня 2007 г. № 8 «О Стратегии социально-экономического развития Чувашской Республики до 2020 года».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приоритетного проекта «Формирование комфортной 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п. Ибреси, п. Буинск, с. Новое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Чурашево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Хормалы Ибресинского района Чувашской Республики.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администрациями Ибресинского городского,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Новочурашевского, Хормалинского сельских поселений, в состав которых входят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населенные пункты с численностью населения свыше 1000 человек, разработали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будут  предусмотрены и инструменты общественного контроля.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 программы является создание условий для системного повышения качества и комфорта городской среды на территории Ибресинского городского,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Новочурашевского, Хормалинского сельских поселений Ибресинского района  Чувашской Республики путем реализации в период 2018–2024 годов комплекса мероприятий по благоустройству территорий данных  муниципальных образований.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 формирование единого облика Ибресинского городского,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Новочурашевского, Хормалинского сельских поселений;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дворовых территорий  Ибресинского городского поселения;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вовлеченности заинтересованных граждан, организаций в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реа-лизацию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территорий Ибресинского городского,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Новочурашевского, Хормалинского сельских поселений Ибресинского района Чувашской Республики;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 создания, содержания и развития объектов благоустройства на территории  Ибресинского городского,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Буинского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Новочурашевского, Хормалинского сельских поселений Ибресинского района Чувашской Республики, включая объекты, находящиеся в частной собственности и прилегающие к ним территории.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 </w:t>
      </w: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</w:t>
      </w:r>
      <w:hyperlink r:id="rId8" w:history="1">
        <w:r w:rsidRPr="00981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(табл.1)</w:t>
        </w:r>
      </w:hyperlink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7"/>
        <w:gridCol w:w="3190"/>
        <w:gridCol w:w="3315"/>
      </w:tblGrid>
      <w:tr w:rsidR="00A11152" w:rsidRPr="0098106F" w:rsidTr="00A11152">
        <w:tc>
          <w:tcPr>
            <w:tcW w:w="1692" w:type="pct"/>
            <w:shd w:val="clear" w:color="auto" w:fill="auto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Цель Муниципальной  программы</w:t>
            </w:r>
          </w:p>
        </w:tc>
        <w:tc>
          <w:tcPr>
            <w:tcW w:w="1622" w:type="pct"/>
            <w:shd w:val="clear" w:color="auto" w:fill="auto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</w:tc>
        <w:tc>
          <w:tcPr>
            <w:tcW w:w="1686" w:type="pct"/>
            <w:shd w:val="clear" w:color="auto" w:fill="auto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Целевые индикаторы </w:t>
            </w:r>
          </w:p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и показатели Муниципальной  программы</w:t>
            </w:r>
          </w:p>
        </w:tc>
      </w:tr>
      <w:tr w:rsidR="00A11152" w:rsidRPr="0098106F" w:rsidTr="00A11152">
        <w:trPr>
          <w:tblHeader/>
        </w:trPr>
        <w:tc>
          <w:tcPr>
            <w:tcW w:w="1692" w:type="pct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pct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</w:tcPr>
          <w:p w:rsidR="00A11152" w:rsidRPr="0098106F" w:rsidRDefault="00A11152" w:rsidP="00A11152">
            <w:pPr>
              <w:pStyle w:val="af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3</w:t>
            </w:r>
          </w:p>
        </w:tc>
      </w:tr>
      <w:tr w:rsidR="00A11152" w:rsidRPr="0098106F" w:rsidTr="00A11152">
        <w:tc>
          <w:tcPr>
            <w:tcW w:w="1692" w:type="pct"/>
          </w:tcPr>
          <w:p w:rsidR="00A11152" w:rsidRPr="0098106F" w:rsidRDefault="00A11152" w:rsidP="00A1115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Создание условий для системного повышения качества и комфорта городской среды на  территории Ибресинского района  Чувашской Республики путем реализации в период 2018–2024 годов комплекса мероприятий по благоустройству территорий данных  муниципальных образований </w:t>
            </w:r>
          </w:p>
        </w:tc>
        <w:tc>
          <w:tcPr>
            <w:tcW w:w="1622" w:type="pct"/>
          </w:tcPr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данных муниципальных образований </w:t>
            </w:r>
          </w:p>
        </w:tc>
        <w:tc>
          <w:tcPr>
            <w:tcW w:w="1686" w:type="pct"/>
          </w:tcPr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>Ибресинского  района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благоустройству;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A11152">
        <w:tc>
          <w:tcPr>
            <w:tcW w:w="1692" w:type="pct"/>
          </w:tcPr>
          <w:p w:rsidR="00A11152" w:rsidRPr="0098106F" w:rsidRDefault="00A11152" w:rsidP="00A11152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 </w:t>
            </w:r>
          </w:p>
          <w:p w:rsidR="00A11152" w:rsidRPr="0098106F" w:rsidRDefault="00A11152" w:rsidP="00A11152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</w:tcPr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 (площадей, набережных, улиц, пешеходных зон, скверов, парков, иных территорий)</w:t>
            </w:r>
          </w:p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</w:tcPr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реализованных 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 ;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</w:t>
            </w:r>
          </w:p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52" w:rsidRPr="0098106F" w:rsidTr="00A11152">
        <w:tc>
          <w:tcPr>
            <w:tcW w:w="1692" w:type="pct"/>
          </w:tcPr>
          <w:p w:rsidR="00A11152" w:rsidRPr="0098106F" w:rsidRDefault="00A11152" w:rsidP="00A11152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</w:tcPr>
          <w:p w:rsidR="00A11152" w:rsidRPr="0098106F" w:rsidRDefault="00A11152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</w:t>
            </w:r>
          </w:p>
        </w:tc>
        <w:tc>
          <w:tcPr>
            <w:tcW w:w="1686" w:type="pct"/>
          </w:tcPr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благоустройству;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.</w:t>
            </w:r>
          </w:p>
          <w:p w:rsidR="00A11152" w:rsidRPr="0098106F" w:rsidRDefault="00A11152" w:rsidP="00A11152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2018  - 2024 годы .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 программы и их значениях приведены в приложении № </w:t>
      </w:r>
      <w:hyperlink w:anchor="sub_10000" w:history="1">
        <w:r w:rsidRPr="0098106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Прогноз ожидаемых результатов реализации программы на территории Ибресинского района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Результатом реализации Программы в  2018-2024 году являются следующие мероприятия: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благоустроенной  дворовой территории (м2) в сравнении с 2017 годом на 7600м2.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благоустроенной общественной территории в сравнении с 2017 годом на  214890 м2.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территорий. В целях реализации конкретных мероприятий программы необходимо привлекать коммерческие предприятия, общественные организации, жителей многоквартирных домов к работам по благоустройству дворов.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IY. Объем средств, необходимых на реализацию программы за счет всех источников финансирования на 2018 год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составит </w:t>
      </w:r>
      <w:r w:rsidRPr="0098106F">
        <w:rPr>
          <w:rFonts w:ascii="Times New Roman" w:hAnsi="Times New Roman" w:cs="Times New Roman"/>
          <w:color w:val="000000"/>
          <w:sz w:val="24"/>
          <w:szCs w:val="24"/>
        </w:rPr>
        <w:t>36661,7 тыс.</w:t>
      </w:r>
      <w:r w:rsidRPr="0098106F">
        <w:rPr>
          <w:color w:val="000000"/>
          <w:sz w:val="24"/>
          <w:szCs w:val="24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2018 году -</w:t>
      </w:r>
      <w:r w:rsidRPr="0098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5888,9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тыс.рублей;     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федерального бюджета – 5535,6 тыс.рублей,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республиканского бюджета – 176,7 тыс. рублей,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местных бюджетов – 176,7 тыс.рублей.</w:t>
      </w:r>
    </w:p>
    <w:p w:rsidR="00A11152" w:rsidRPr="0098106F" w:rsidRDefault="00A11152" w:rsidP="00A111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Y. Обоснование объема финансовых ресурсов, необходимых</w:t>
      </w:r>
    </w:p>
    <w:p w:rsidR="00A11152" w:rsidRPr="0098106F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программы</w:t>
      </w:r>
    </w:p>
    <w:p w:rsidR="00A11152" w:rsidRPr="0098106F" w:rsidRDefault="00A11152" w:rsidP="00A111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за счет бюджетных ассигнований бюджета Ибресинского района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программы используются различные инструменты государственно-частного партнерства, в том числе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юридических лиц и привлеченных ими заемных средств.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в 2018-2024  годы составит </w:t>
      </w:r>
      <w:r w:rsidR="005532D1">
        <w:rPr>
          <w:rFonts w:ascii="Times New Roman" w:hAnsi="Times New Roman" w:cs="Times New Roman"/>
          <w:color w:val="000000"/>
          <w:sz w:val="24"/>
          <w:szCs w:val="24"/>
        </w:rPr>
        <w:t>43518,8</w:t>
      </w:r>
      <w:r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98106F">
        <w:rPr>
          <w:color w:val="000000"/>
          <w:sz w:val="24"/>
          <w:szCs w:val="24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средства: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42867,7</w:t>
      </w:r>
      <w:r w:rsidR="001B173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440,7</w:t>
      </w:r>
      <w:r w:rsidR="001B173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бюджетов – </w:t>
      </w:r>
      <w:r w:rsidR="005532D1">
        <w:rPr>
          <w:rFonts w:ascii="Times New Roman" w:hAnsi="Times New Roman" w:cs="Times New Roman"/>
          <w:color w:val="000000"/>
          <w:sz w:val="24"/>
          <w:szCs w:val="24"/>
        </w:rPr>
        <w:t>210,5</w:t>
      </w:r>
      <w:r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прогнозируемые объемы финансирования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меро-приятий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2018–2024 годах составляют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75383,5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5888,9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6624,3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37911,2</w:t>
      </w:r>
      <w:r w:rsidR="005532D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6046,5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6304,2</w:t>
      </w:r>
      <w:r w:rsidR="005532D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6304,2</w:t>
      </w:r>
      <w:r w:rsidR="005532D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6304,2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средства: </w:t>
      </w:r>
    </w:p>
    <w:p w:rsidR="00A11152" w:rsidRPr="0098106F" w:rsidRDefault="001B1737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42867,7</w:t>
      </w:r>
      <w:r w:rsidR="00A1115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5535,6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1B1737">
        <w:rPr>
          <w:rFonts w:ascii="Times New Roman" w:eastAsia="Times New Roman" w:hAnsi="Times New Roman" w:cs="Times New Roman"/>
          <w:sz w:val="24"/>
          <w:szCs w:val="24"/>
          <w:lang w:eastAsia="ru-RU"/>
        </w:rPr>
        <w:t>6571,8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5998,7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5998,7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6254,3</w:t>
      </w:r>
      <w:r w:rsidR="005532D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6254,3</w:t>
      </w:r>
      <w:r w:rsidR="005532D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6254,3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30696,1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176,7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1B1737">
        <w:rPr>
          <w:rFonts w:ascii="Times New Roman" w:eastAsia="Times New Roman" w:hAnsi="Times New Roman" w:cs="Times New Roman"/>
          <w:sz w:val="24"/>
          <w:szCs w:val="24"/>
          <w:lang w:eastAsia="ru-RU"/>
        </w:rPr>
        <w:t>46,6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30297,8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42,4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2022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2024 году – </w:t>
      </w:r>
      <w:r w:rsidR="005532D1">
        <w:rPr>
          <w:rFonts w:ascii="Times New Roman" w:eastAsia="Times New Roman" w:hAnsi="Times New Roman" w:cs="Times New Roman"/>
          <w:sz w:val="24"/>
          <w:szCs w:val="24"/>
          <w:lang w:eastAsia="ru-RU"/>
        </w:rPr>
        <w:t>44,2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бюджетов –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1819,8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176,7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5,9  тыс. рублей;</w:t>
      </w:r>
    </w:p>
    <w:p w:rsidR="00A11152" w:rsidRPr="0098106F" w:rsidRDefault="00574073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186531">
        <w:rPr>
          <w:rFonts w:ascii="Times New Roman" w:eastAsia="Times New Roman" w:hAnsi="Times New Roman" w:cs="Times New Roman"/>
          <w:sz w:val="24"/>
          <w:szCs w:val="24"/>
          <w:lang w:eastAsia="ru-RU"/>
        </w:rPr>
        <w:t>1614,7</w:t>
      </w:r>
      <w:r w:rsidR="00A1115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574073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5,4</w:t>
      </w:r>
      <w:r w:rsidR="00A1115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– 5,7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5,</w:t>
      </w:r>
      <w:r w:rsidR="005740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574073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5,7</w:t>
      </w:r>
      <w:r w:rsidR="00A1115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0,0 тыс. рублей, в том числе: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0,0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 тыс. рублей;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 тыс. рублей.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бюджетных ассигнований на реализацию программы в очередном финансовом году (и плановом периоде) осуществляется в соответствии с муниципальными правовыми актами администрации Ибресинского района Чувашской Республики, регулирующими порядок составления проекта бюджета Ибресинского  района Чувашской Республики и планирование бюджетных ассигнований.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финансового обеспечения реализации программы за счет средств бюджета Ибресинского района Чувашской Республики на очередной финансовый год (и плановый период) указываются в программе в соответствии с показателями бюджета Ибресинского района Чувашской Республики на очередной финансовый год (и плановый период).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программы за счет всех источников и прогнозная (справочная) оценка расходов из республиканского бюджета Чувашской Республики, местных бюджетов и внебюджетных источников на реализацию программы  приведены в 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</w:t>
      </w:r>
      <w:r w:rsidRPr="0098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программе.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YI. Основные меры правового регулирования, направленные на достижение цели и (или) конечных результатов.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инструментами правового регулирования ,направленными на достижение целей и конечных результатов муниципальной программы ,являются нормативные правовые акты Российской Федерации, Чувашской Республики ,администрации Ибресинского района.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6 октября 2003г.№131-ФЗ «Об общих принципах организации местного самоуправления в Российской Федерации »;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5 апреля 2013 г. № 44-ФЗ «О контрактной системе в сфере закупок товаров, услуг для обеспечения государственных и муниципальных нужд »;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нормативно-правовые акты.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YII. Мероприятия программы формирования современной городской среды на 2018 – 2024 годы</w:t>
      </w:r>
    </w:p>
    <w:p w:rsidR="00A11152" w:rsidRPr="0098106F" w:rsidRDefault="00A11152" w:rsidP="00A111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152" w:rsidRPr="006A68E3" w:rsidRDefault="00A11152" w:rsidP="00A11152">
      <w:pPr>
        <w:shd w:val="clear" w:color="auto" w:fill="FFFFFF"/>
        <w:tabs>
          <w:tab w:val="num" w:pos="284"/>
        </w:tabs>
        <w:spacing w:after="0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8E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6A68E3">
        <w:rPr>
          <w:rFonts w:ascii="Times New Roman" w:hAnsi="Times New Roman"/>
          <w:b/>
          <w:bCs/>
          <w:sz w:val="28"/>
          <w:szCs w:val="28"/>
        </w:rPr>
        <w:t>. 1. Перечень работ по благоустройству дворовых территорий</w:t>
      </w:r>
    </w:p>
    <w:p w:rsidR="00A11152" w:rsidRPr="0098106F" w:rsidRDefault="00A11152" w:rsidP="00A11152">
      <w:pPr>
        <w:shd w:val="clear" w:color="auto" w:fill="FFFFFF"/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Благоустройство дворовых территорий предусматривает: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1.  Минимальный перечень работ: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установку скамеек;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A11152" w:rsidRPr="0098106F" w:rsidRDefault="00A11152" w:rsidP="00A11152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2. Дополнительный перечень работ: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озеленение дворовых территорий.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1152" w:rsidRPr="006A68E3" w:rsidRDefault="00A11152" w:rsidP="00A11152">
      <w:pPr>
        <w:pStyle w:val="2"/>
        <w:keepNext/>
        <w:keepLines/>
        <w:spacing w:before="0" w:line="240" w:lineRule="auto"/>
        <w:ind w:firstLine="567"/>
        <w:rPr>
          <w:sz w:val="28"/>
          <w:szCs w:val="28"/>
        </w:rPr>
      </w:pPr>
      <w:r w:rsidRPr="006A68E3">
        <w:rPr>
          <w:bCs w:val="0"/>
          <w:sz w:val="28"/>
          <w:szCs w:val="28"/>
          <w:lang w:val="en-US"/>
        </w:rPr>
        <w:t>VII</w:t>
      </w:r>
      <w:r w:rsidRPr="006A68E3">
        <w:rPr>
          <w:bCs w:val="0"/>
          <w:sz w:val="28"/>
          <w:szCs w:val="28"/>
        </w:rPr>
        <w:t>.</w:t>
      </w:r>
      <w:r w:rsidRPr="006A68E3">
        <w:rPr>
          <w:sz w:val="28"/>
          <w:szCs w:val="28"/>
        </w:rPr>
        <w:t>2. Форма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A11152" w:rsidRPr="0098106F" w:rsidRDefault="00A11152" w:rsidP="00A11152">
      <w:pPr>
        <w:pStyle w:val="2"/>
        <w:keepNext/>
        <w:keepLines/>
        <w:spacing w:before="0" w:line="240" w:lineRule="auto"/>
        <w:ind w:firstLine="567"/>
        <w:jc w:val="both"/>
        <w:rPr>
          <w:sz w:val="24"/>
          <w:szCs w:val="24"/>
        </w:rPr>
      </w:pP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 </w:t>
      </w:r>
      <w:r w:rsidRPr="0098106F">
        <w:rPr>
          <w:rStyle w:val="apple-converted-space"/>
          <w:rFonts w:ascii="Times New Roman" w:hAnsi="Times New Roman"/>
          <w:sz w:val="24"/>
          <w:szCs w:val="24"/>
        </w:rPr>
        <w:t>трудовой и (или) финансовой</w:t>
      </w:r>
      <w:r w:rsidRPr="0098106F">
        <w:rPr>
          <w:rFonts w:ascii="Times New Roman" w:hAnsi="Times New Roman" w:cs="Times New Roman"/>
          <w:sz w:val="24"/>
          <w:szCs w:val="24"/>
        </w:rPr>
        <w:t>.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Кроме финансового (денежного) вклада вклад может быть внесен в </w:t>
      </w:r>
      <w:proofErr w:type="spellStart"/>
      <w:r w:rsidRPr="0098106F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8106F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8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Трудовое участие -  это добровольное и безвозмездное участие жителей в работах по благоустройству. </w:t>
      </w:r>
      <w:r w:rsidRPr="0098106F">
        <w:rPr>
          <w:rFonts w:ascii="Times New Roman" w:hAnsi="Times New Roman" w:cs="Times New Roman"/>
          <w:sz w:val="24"/>
          <w:szCs w:val="24"/>
        </w:rPr>
        <w:t>В частности, этом может быть: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</w:t>
      </w:r>
      <w:r w:rsidRPr="0098106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«Интернет». 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 устанавливается в размере 2% от стоимости предполагаемых к выполнению работ или 250 чел/часов трудового участия.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2% от стоимости предполагаемых к выполнению работ или 250 чел/часов трудового участия.</w:t>
      </w:r>
    </w:p>
    <w:p w:rsidR="00A11152" w:rsidRPr="0098106F" w:rsidRDefault="00A11152" w:rsidP="00A111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152" w:rsidRPr="0098106F" w:rsidRDefault="00A11152" w:rsidP="00A11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152" w:rsidRPr="006A68E3" w:rsidRDefault="00A11152" w:rsidP="00A1115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E3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A68E3">
        <w:rPr>
          <w:rFonts w:ascii="Times New Roman" w:hAnsi="Times New Roman"/>
          <w:b/>
          <w:bCs/>
          <w:sz w:val="28"/>
          <w:szCs w:val="28"/>
        </w:rPr>
        <w:t>.</w:t>
      </w:r>
      <w:r w:rsidRPr="006A68E3">
        <w:rPr>
          <w:rFonts w:ascii="Times New Roman" w:hAnsi="Times New Roman" w:cs="Times New Roman"/>
          <w:b/>
          <w:bCs/>
          <w:sz w:val="28"/>
          <w:szCs w:val="28"/>
        </w:rPr>
        <w:t>3. Отбор дворовых и общественных территорий для благоустройства</w:t>
      </w:r>
    </w:p>
    <w:p w:rsidR="00A11152" w:rsidRPr="0098106F" w:rsidRDefault="00A11152" w:rsidP="00A11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Адресный перечень дворовых территорий многоквартирных домов, расположенных на территории Ибресинского района Чувашской Республики, на которых планируется благоустройство в 2018-2024 годы, формируется с учетом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2014-2043 годы, утвержденных постановлением Кабинета Министров Чувашской Республики от 14.03.2014 № 77.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Включение дворовой территории в настоящую программу допускается без решения заинтересованных лиц.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проведения общественного обсуждения проекта настоящей Программы;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о включении в настоящую Программу дворовой территории, подлежащих  благоустройству в 2018-2024 годы;</w:t>
      </w:r>
    </w:p>
    <w:p w:rsidR="00A11152" w:rsidRPr="0098106F" w:rsidRDefault="00A11152" w:rsidP="00A111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рассмотрения и оценки предложений граждан и организаций о включении в настоящую Программу общественных  территорий, подлежащих благоустройству в 2018-2024 годы;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</w:t>
      </w:r>
      <w:proofErr w:type="spellStart"/>
      <w:r w:rsidRPr="0098106F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98106F">
        <w:rPr>
          <w:rFonts w:ascii="Times New Roman" w:hAnsi="Times New Roman"/>
          <w:sz w:val="24"/>
          <w:szCs w:val="24"/>
        </w:rPr>
        <w:t xml:space="preserve"> благоустройства дворовых территорий, включенных в настоящую Программу,  приведенном в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приложении 4</w:t>
      </w:r>
      <w:r w:rsidRPr="0098106F">
        <w:rPr>
          <w:rFonts w:ascii="Times New Roman" w:hAnsi="Times New Roman"/>
          <w:sz w:val="24"/>
          <w:szCs w:val="24"/>
        </w:rPr>
        <w:t xml:space="preserve"> к настоящей подпрограмме;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</w:t>
      </w:r>
      <w:proofErr w:type="spellStart"/>
      <w:r w:rsidRPr="0098106F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98106F">
        <w:rPr>
          <w:rFonts w:ascii="Times New Roman" w:hAnsi="Times New Roman"/>
          <w:sz w:val="24"/>
          <w:szCs w:val="24"/>
        </w:rPr>
        <w:t xml:space="preserve"> благоустройства общественных  территорий, включенных в настоящую Программу,  приведенном в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приложении №5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 xml:space="preserve">Адресный перечень многоквартирных домов, на дворовых территориях которых  планируется благоустройство в 2018-2024 годы, приведен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в приложении №4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lastRenderedPageBreak/>
        <w:t xml:space="preserve">Адресный перечень общественных территорий, на которых планируется благоустройство в 2018-2024 годы, приведен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в приложении №5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Администрация Ибресинского района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Администрация Ибресинского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11152" w:rsidRPr="0098106F" w:rsidRDefault="00A11152" w:rsidP="00A111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 территорий 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11152" w:rsidRPr="0098106F" w:rsidRDefault="00A11152" w:rsidP="00A1115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основных мероприятий программы приведена в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YIII. Анализ рисков реализации программы и описание мер управления рисками реализации программы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экономической ситуации за 2010-2017 годы показывает, что район несет определенную долю рисков при стратегическом планировании экономики. Риски связанные прежде всего в зависимости бюджета района от федеральных, республиканских вливаний. Однако ряд факторов - структура производства и состояние дел в основных отраслях экономики, наличие базы для развития непрофильных отраслей, огромные потенциальные возможности - позволят достичь главной цели - устойчивого социально-экономического развития и перевода района в зону управляемых рисков.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программы, которыми могут управлять ответственный исполнитель и соисполнители программы, уменьшая вероятность их возникновения, следует отнести следующие: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институционально-правовые риски, связанные с отсутствием законодательного регулирования основных направлений программы на уровне Чувашской Республики и (или) недостаточно быстрым формированием институтов, предусмотренных  программой;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по причине значительной продолжительности программы, а также высокой зависимости ее успешной реализации от привлечения внебюджетных источников;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непредвиденные риски, связанные с кризисными явлениями в экономике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бюджетных средств на преодоление последствий таких катастроф.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риски можно распределить по уровням их влияния на реализацию подпрограммы (табл.2).</w:t>
      </w:r>
    </w:p>
    <w:p w:rsidR="00A11152" w:rsidRPr="0098106F" w:rsidRDefault="00A11152" w:rsidP="00A111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9"/>
        <w:gridCol w:w="2058"/>
        <w:gridCol w:w="3402"/>
      </w:tblGrid>
      <w:tr w:rsidR="00A11152" w:rsidRPr="0098106F" w:rsidTr="00A11152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снижению риска</w:t>
            </w:r>
          </w:p>
        </w:tc>
      </w:tr>
      <w:tr w:rsidR="00A11152" w:rsidRPr="0098106F" w:rsidTr="00A11152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152" w:rsidRPr="0098106F" w:rsidTr="00A11152">
        <w:tc>
          <w:tcPr>
            <w:tcW w:w="41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быстрое формирование механизмов и инструментов реализации основных мероприятий программы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анализ и прогнозирование социально-экономического развития муниципального района;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размещение муниципальных заказов на поставки товаров, выполнение работ и оказание услуг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A11152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риски: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неактуальность прогнозирования и запаздывание разработки, согласования и выполнения мероприятий программы;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гибкость и </w:t>
            </w: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адаптируемость</w:t>
            </w:r>
            <w:proofErr w:type="spell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 изменению мировых тенденций экономического развития и организационным изменениям органов исполнительной власти Чувашской Республики;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пассивное сопротивление отдельных организаций проведению основных мероприятий программы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A11152" w:rsidRPr="0098106F" w:rsidTr="00A11152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риски: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бюджетных средств, необходимых на реализацию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мероприятий программы;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привлечение внебюджетных средств, предусмотренных в программах, включенных в программу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сбалансированного распределения финансовых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 основным мероприятиям программы в соответствии с ожидаемыми конечными результатами</w:t>
            </w:r>
          </w:p>
        </w:tc>
      </w:tr>
      <w:tr w:rsidR="00A11152" w:rsidRPr="0098106F" w:rsidTr="00A11152">
        <w:tc>
          <w:tcPr>
            <w:tcW w:w="41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Непредвиденные риски: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ухудшение состояния экономики вследствие финансового и экономического кризиса;</w:t>
            </w:r>
          </w:p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техногенные катастрофы и катаклизмы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1152" w:rsidRPr="0098106F" w:rsidRDefault="00A11152" w:rsidP="00A11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вышеперечисленных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A11152" w:rsidRPr="0098106F" w:rsidRDefault="00A11152" w:rsidP="00A11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IX. Управление, реализация и контроль за ходом       реализации  программы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осуществляется ответственным исполнителем.</w:t>
      </w:r>
    </w:p>
    <w:p w:rsidR="00A11152" w:rsidRPr="0098106F" w:rsidRDefault="00A11152" w:rsidP="00A11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ходом выполнения программы осуществляет отдел строительства и развития общественной инфраструктуры администрации  Ибресинского района. 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программы представляют в отдел строительства и развития общественной инфраструктуры администрации Ибресинского района: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05 числа месяца, следующего за отчетным кварталом, статистическую, справочную и аналитическую информацию о ходе реализации мероприятий программ, отдельных мероприятий, в реализации которых принимали участие;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февраля года, следующего за отчетным годом информацию, необходимую для проведения оценки эффективности реализации программы и подготовки годового отчета.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строительства и развития общественной инфраструктуры администрации Ибресинского района представляет ежеквартально, в срок до 15 числа месяца, следующего за отчетным кварталом, в целях оперативного контроля в финансовый отдел администрации Ибресинского района Чувашской Республики: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степени выполнения отдельных мероприятий (мероприятий) программы;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бюджетных и внебюджетных средств на реализацию программы;</w:t>
      </w:r>
    </w:p>
    <w:p w:rsidR="00A11152" w:rsidRPr="0098106F" w:rsidRDefault="00A11152" w:rsidP="00A11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индикаторов (показателей) программы; 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годовой отчет о ходе реализации программы (далее – годовой отчет) и представляет в финансовый отдел администрации Ибресинского района Чувашской Республики в срок до 01 марта года, следующего за отчетным годом.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информационно-телекоммуникационной сети «Интернет».</w:t>
      </w: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1152" w:rsidRPr="0098106F" w:rsidSect="00A11152">
          <w:headerReference w:type="default" r:id="rId9"/>
          <w:pgSz w:w="11905" w:h="16837"/>
          <w:pgMar w:top="799" w:right="849" w:bottom="1100" w:left="1440" w:header="720" w:footer="720" w:gutter="0"/>
          <w:cols w:space="720"/>
          <w:noEndnote/>
          <w:titlePg/>
          <w:docGrid w:linePitch="299"/>
        </w:sect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</w:t>
      </w:r>
    </w:p>
    <w:p w:rsidR="00A11152" w:rsidRPr="0098106F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</w:t>
      </w:r>
      <w:r w:rsidR="00A11152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</w:t>
      </w:r>
      <w:r w:rsidR="00A11152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11152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152" w:rsidRPr="006A68E3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:rsidR="00A11152" w:rsidRPr="006A68E3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tbl>
      <w:tblPr>
        <w:tblW w:w="0" w:type="auto"/>
        <w:jc w:val="center"/>
        <w:tblInd w:w="-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8150"/>
        <w:gridCol w:w="2105"/>
        <w:gridCol w:w="3230"/>
      </w:tblGrid>
      <w:tr w:rsidR="00A11152" w:rsidRPr="0098106F" w:rsidTr="001B1737">
        <w:trPr>
          <w:jc w:val="center"/>
        </w:trPr>
        <w:tc>
          <w:tcPr>
            <w:tcW w:w="901" w:type="dxa"/>
            <w:vMerge w:val="restart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0" w:type="dxa"/>
            <w:vMerge w:val="restart"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11152" w:rsidRPr="0098106F" w:rsidTr="001B1737">
        <w:trPr>
          <w:jc w:val="center"/>
        </w:trPr>
        <w:tc>
          <w:tcPr>
            <w:tcW w:w="901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Merge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  год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0" w:type="dxa"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 w:val="restart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3230" w:type="dxa"/>
            <w:vMerge w:val="restart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152" w:rsidRPr="0098106F" w:rsidTr="001B1737">
        <w:trPr>
          <w:jc w:val="center"/>
        </w:trPr>
        <w:tc>
          <w:tcPr>
            <w:tcW w:w="901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15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152" w:rsidRPr="0098106F" w:rsidSect="00A11152">
          <w:pgSz w:w="16838" w:h="11906" w:orient="landscape"/>
          <w:pgMar w:top="1418" w:right="849" w:bottom="851" w:left="1134" w:header="709" w:footer="709" w:gutter="0"/>
          <w:cols w:space="708"/>
          <w:docGrid w:linePitch="360"/>
        </w:sect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</w:t>
      </w:r>
    </w:p>
    <w:p w:rsidR="00A11152" w:rsidRPr="0098106F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</w:t>
      </w:r>
      <w:r w:rsidR="00A11152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</w:t>
      </w:r>
      <w:r w:rsidR="00A11152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11152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6A68E3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A11152" w:rsidRPr="006A68E3" w:rsidRDefault="00A11152" w:rsidP="00A1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97"/>
        <w:gridCol w:w="2268"/>
        <w:gridCol w:w="1134"/>
        <w:gridCol w:w="1134"/>
        <w:gridCol w:w="2977"/>
        <w:gridCol w:w="1417"/>
        <w:gridCol w:w="2977"/>
      </w:tblGrid>
      <w:tr w:rsidR="00A11152" w:rsidRPr="0098106F" w:rsidTr="00A11152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программы </w:t>
            </w:r>
          </w:p>
        </w:tc>
      </w:tr>
      <w:tr w:rsidR="00A11152" w:rsidRPr="0098106F" w:rsidTr="00A11152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A11152">
        <w:trPr>
          <w:trHeight w:val="226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1152" w:rsidRPr="0098106F" w:rsidTr="00A11152">
        <w:trPr>
          <w:trHeight w:val="2160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3F794D" w:rsidP="003F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4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Ибресинского</w:t>
            </w:r>
            <w:r w:rsidRPr="003F794D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Ибресинского района, администрация Ибресинского городского поселения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тротуаров; наружное электроосвещение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муниципальных территорий общего </w:t>
            </w: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152" w:rsidRPr="0098106F" w:rsidTr="00A11152">
        <w:trPr>
          <w:trHeight w:val="2175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3F794D" w:rsidP="003F794D">
            <w:pPr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3F794D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Ибресинского района</w:t>
            </w:r>
            <w:r w:rsidRPr="003F794D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 администрация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3F794D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3F794D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Ремонт дорожных покрытий; обеспечение освещения территорий; установка скамеек; установка урн для мусора, установка спортивного  и игрового оборудования.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4D" w:rsidRPr="0098106F" w:rsidRDefault="003F794D" w:rsidP="003F79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3F794D" w:rsidRPr="0098106F" w:rsidRDefault="003F794D" w:rsidP="003F79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A11152" w:rsidRPr="003F794D" w:rsidRDefault="003F794D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</w:tr>
      <w:tr w:rsidR="00A11152" w:rsidRPr="0098106F" w:rsidTr="00A11152">
        <w:trPr>
          <w:trHeight w:val="3997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3F794D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3F7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Ибресинского района, </w:t>
            </w:r>
            <w:r w:rsidR="003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и сельских поселений Ибресинского района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3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строительство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тротуаров; наружное электроосвещение</w:t>
            </w:r>
            <w:r w:rsidR="003F7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94D"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спортивного  и игрового оборудования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A11152" w:rsidRPr="0098106F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A11152" w:rsidRPr="0098106F" w:rsidRDefault="00A11152" w:rsidP="00A11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152" w:rsidRPr="0098106F" w:rsidSect="00A11152">
          <w:pgSz w:w="16838" w:h="11906" w:orient="landscape"/>
          <w:pgMar w:top="1134" w:right="849" w:bottom="1134" w:left="1134" w:header="709" w:footer="709" w:gutter="0"/>
          <w:cols w:space="708"/>
          <w:docGrid w:linePitch="360"/>
        </w:sect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</w:t>
      </w:r>
    </w:p>
    <w:p w:rsidR="00A11152" w:rsidRPr="0098106F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</w:t>
      </w:r>
      <w:r w:rsidR="00A11152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A11152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11152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152" w:rsidRPr="006A68E3" w:rsidRDefault="00A11152" w:rsidP="00A11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A11152" w:rsidRPr="006A68E3" w:rsidRDefault="00A11152" w:rsidP="00A1115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реализации муниципальной</w:t>
      </w:r>
    </w:p>
    <w:p w:rsidR="00A11152" w:rsidRPr="006A68E3" w:rsidRDefault="00A11152" w:rsidP="00A1115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</w:t>
      </w:r>
      <w:r w:rsidRPr="006A68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Ибресинского района Чувашской  Республики</w:t>
      </w:r>
    </w:p>
    <w:p w:rsidR="00A11152" w:rsidRPr="006A68E3" w:rsidRDefault="00A11152" w:rsidP="00A1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среды» </w:t>
      </w:r>
      <w:r w:rsidRPr="006A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2018-2024 годы</w:t>
      </w:r>
    </w:p>
    <w:p w:rsidR="00A11152" w:rsidRPr="0098106F" w:rsidRDefault="00A11152" w:rsidP="00A11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709"/>
        <w:gridCol w:w="851"/>
        <w:gridCol w:w="567"/>
        <w:gridCol w:w="567"/>
        <w:gridCol w:w="1843"/>
        <w:gridCol w:w="850"/>
        <w:gridCol w:w="851"/>
        <w:gridCol w:w="850"/>
        <w:gridCol w:w="851"/>
        <w:gridCol w:w="850"/>
        <w:gridCol w:w="992"/>
        <w:gridCol w:w="993"/>
      </w:tblGrid>
      <w:tr w:rsidR="00A11152" w:rsidRPr="004C5EDB" w:rsidTr="004C5EDB">
        <w:tc>
          <w:tcPr>
            <w:tcW w:w="1418" w:type="dxa"/>
            <w:vMerge w:val="restart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A11152" w:rsidRPr="004C5EDB" w:rsidRDefault="003F794D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11152"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694" w:type="dxa"/>
            <w:gridSpan w:val="4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по годам, тыс.руб.</w:t>
            </w:r>
          </w:p>
        </w:tc>
      </w:tr>
      <w:tr w:rsidR="00A11152" w:rsidRPr="004C5EDB" w:rsidTr="004C5EDB">
        <w:tc>
          <w:tcPr>
            <w:tcW w:w="1418" w:type="dxa"/>
            <w:vMerge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   Р</w:t>
            </w:r>
          </w:p>
        </w:tc>
        <w:tc>
          <w:tcPr>
            <w:tcW w:w="567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vMerge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A11152" w:rsidRPr="004C5EDB" w:rsidTr="004C5EDB">
        <w:tc>
          <w:tcPr>
            <w:tcW w:w="1418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</w:tcPr>
          <w:p w:rsidR="00A11152" w:rsidRPr="004C5EDB" w:rsidRDefault="00A11152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74073" w:rsidRPr="004C5EDB" w:rsidTr="004C5EDB">
        <w:tc>
          <w:tcPr>
            <w:tcW w:w="1418" w:type="dxa"/>
          </w:tcPr>
          <w:p w:rsidR="00574073" w:rsidRPr="004C5EDB" w:rsidRDefault="00574073" w:rsidP="00A1115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</w:t>
            </w:r>
          </w:p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2977" w:type="dxa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«Формирование современной городской среды» </w:t>
            </w:r>
            <w:r w:rsidR="003F794D"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2018–2024</w:t>
            </w: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09" w:type="dxa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</w:t>
            </w:r>
          </w:p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75383,5</w:t>
            </w:r>
          </w:p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тыс.руб.</w:t>
            </w:r>
          </w:p>
          <w:p w:rsidR="00574073" w:rsidRPr="004C5EDB" w:rsidRDefault="00574073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74073" w:rsidRPr="004C5EDB" w:rsidRDefault="00574073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5888,9</w:t>
            </w:r>
          </w:p>
        </w:tc>
        <w:tc>
          <w:tcPr>
            <w:tcW w:w="851" w:type="dxa"/>
            <w:vAlign w:val="center"/>
          </w:tcPr>
          <w:p w:rsidR="00574073" w:rsidRPr="004C5EDB" w:rsidRDefault="00574073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574073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37911,2</w:t>
            </w:r>
          </w:p>
        </w:tc>
        <w:tc>
          <w:tcPr>
            <w:tcW w:w="851" w:type="dxa"/>
            <w:vAlign w:val="center"/>
          </w:tcPr>
          <w:p w:rsidR="00574073" w:rsidRPr="004C5EDB" w:rsidRDefault="00574073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6046,5</w:t>
            </w:r>
          </w:p>
        </w:tc>
        <w:tc>
          <w:tcPr>
            <w:tcW w:w="850" w:type="dxa"/>
            <w:vAlign w:val="center"/>
          </w:tcPr>
          <w:p w:rsidR="00574073" w:rsidRPr="004C5EDB" w:rsidRDefault="00574073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  <w:tc>
          <w:tcPr>
            <w:tcW w:w="992" w:type="dxa"/>
          </w:tcPr>
          <w:p w:rsidR="00574073" w:rsidRPr="004C5EDB" w:rsidRDefault="00574073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4073" w:rsidRPr="004C5EDB" w:rsidRDefault="00574073" w:rsidP="00574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  <w:tc>
          <w:tcPr>
            <w:tcW w:w="993" w:type="dxa"/>
          </w:tcPr>
          <w:p w:rsidR="00574073" w:rsidRPr="004C5EDB" w:rsidRDefault="00574073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4073" w:rsidRPr="004C5EDB" w:rsidRDefault="00574073" w:rsidP="00574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</w:tr>
      <w:tr w:rsidR="004C5EDB" w:rsidRPr="004C5EDB" w:rsidTr="004C5EDB">
        <w:tc>
          <w:tcPr>
            <w:tcW w:w="1418" w:type="dxa"/>
          </w:tcPr>
          <w:p w:rsidR="004C5EDB" w:rsidRPr="004C5EDB" w:rsidRDefault="004C5EDB" w:rsidP="00A1115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бюджет- 42867,7 тыс.руб.</w:t>
            </w:r>
          </w:p>
        </w:tc>
        <w:tc>
          <w:tcPr>
            <w:tcW w:w="850" w:type="dxa"/>
            <w:vAlign w:val="center"/>
          </w:tcPr>
          <w:p w:rsidR="004C5EDB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5535,6</w:t>
            </w:r>
          </w:p>
        </w:tc>
        <w:tc>
          <w:tcPr>
            <w:tcW w:w="851" w:type="dxa"/>
            <w:vAlign w:val="center"/>
          </w:tcPr>
          <w:p w:rsidR="004C5EDB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6571,8</w:t>
            </w:r>
          </w:p>
        </w:tc>
        <w:tc>
          <w:tcPr>
            <w:tcW w:w="850" w:type="dxa"/>
            <w:vAlign w:val="center"/>
          </w:tcPr>
          <w:p w:rsidR="004C5EDB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5998,7</w:t>
            </w:r>
          </w:p>
        </w:tc>
        <w:tc>
          <w:tcPr>
            <w:tcW w:w="851" w:type="dxa"/>
            <w:vAlign w:val="center"/>
          </w:tcPr>
          <w:p w:rsidR="004C5EDB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5998,7</w:t>
            </w:r>
          </w:p>
        </w:tc>
        <w:tc>
          <w:tcPr>
            <w:tcW w:w="850" w:type="dxa"/>
            <w:vAlign w:val="center"/>
          </w:tcPr>
          <w:p w:rsidR="004C5EDB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6254,3</w:t>
            </w:r>
          </w:p>
        </w:tc>
        <w:tc>
          <w:tcPr>
            <w:tcW w:w="992" w:type="dxa"/>
          </w:tcPr>
          <w:p w:rsidR="004C5EDB" w:rsidRPr="004C5EDB" w:rsidRDefault="004C5E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6254,3</w:t>
            </w:r>
          </w:p>
        </w:tc>
        <w:tc>
          <w:tcPr>
            <w:tcW w:w="993" w:type="dxa"/>
          </w:tcPr>
          <w:p w:rsidR="004C5EDB" w:rsidRPr="004C5EDB" w:rsidRDefault="004C5E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6254,3</w:t>
            </w:r>
          </w:p>
        </w:tc>
      </w:tr>
      <w:tr w:rsidR="005F4A6F" w:rsidRPr="004C5EDB" w:rsidTr="004C5EDB">
        <w:tc>
          <w:tcPr>
            <w:tcW w:w="1418" w:type="dxa"/>
          </w:tcPr>
          <w:p w:rsidR="005F4A6F" w:rsidRPr="004C5EDB" w:rsidRDefault="005F4A6F" w:rsidP="00A1115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4A6F" w:rsidRPr="004C5EDB" w:rsidRDefault="005F4A6F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ЧР-  </w:t>
            </w:r>
            <w:r w:rsidR="004C5EDB"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30696,1</w:t>
            </w: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</w:p>
          <w:p w:rsidR="005F4A6F" w:rsidRPr="004C5EDB" w:rsidRDefault="005F4A6F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1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30297,8</w:t>
            </w:r>
          </w:p>
        </w:tc>
        <w:tc>
          <w:tcPr>
            <w:tcW w:w="851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</w:tcPr>
          <w:p w:rsidR="004C5EDB" w:rsidRPr="004C5EDB" w:rsidRDefault="004C5EDB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A6F" w:rsidRPr="004C5EDB" w:rsidRDefault="004C5EDB" w:rsidP="004C5E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</w:tcPr>
          <w:p w:rsidR="005F4A6F" w:rsidRPr="004C5EDB" w:rsidRDefault="005F4A6F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EDB" w:rsidRPr="004C5EDB" w:rsidRDefault="004C5EDB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5F4A6F" w:rsidRPr="004C5EDB" w:rsidTr="004C5EDB">
        <w:tc>
          <w:tcPr>
            <w:tcW w:w="1418" w:type="dxa"/>
          </w:tcPr>
          <w:p w:rsidR="005F4A6F" w:rsidRPr="004C5EDB" w:rsidRDefault="005F4A6F" w:rsidP="00A1115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4A6F" w:rsidRPr="004C5EDB" w:rsidRDefault="005F4A6F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  <w:r w:rsidR="004C5EDB"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1819,8</w:t>
            </w: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тыс.руб.</w:t>
            </w:r>
          </w:p>
          <w:p w:rsidR="005F4A6F" w:rsidRPr="004C5EDB" w:rsidRDefault="005F4A6F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1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1614,7</w:t>
            </w:r>
          </w:p>
        </w:tc>
        <w:tc>
          <w:tcPr>
            <w:tcW w:w="851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vAlign w:val="center"/>
          </w:tcPr>
          <w:p w:rsidR="005F4A6F" w:rsidRPr="004C5EDB" w:rsidRDefault="004C5EDB" w:rsidP="00574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</w:tcPr>
          <w:p w:rsidR="005F4A6F" w:rsidRPr="004C5EDB" w:rsidRDefault="004C5EDB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3" w:type="dxa"/>
          </w:tcPr>
          <w:p w:rsidR="005F4A6F" w:rsidRPr="004C5EDB" w:rsidRDefault="004C5EDB" w:rsidP="005740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5F4A6F" w:rsidRPr="004C5EDB" w:rsidTr="004C5EDB">
        <w:tc>
          <w:tcPr>
            <w:tcW w:w="1418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7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Благоустройство дворовых территорий Ибресинского района Чувашской Республики</w:t>
            </w:r>
          </w:p>
        </w:tc>
        <w:tc>
          <w:tcPr>
            <w:tcW w:w="709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</w:t>
            </w:r>
          </w:p>
          <w:p w:rsidR="005F4A6F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37472,3</w:t>
            </w:r>
            <w:r w:rsidR="005F4A6F"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тыс.руб.</w:t>
            </w:r>
          </w:p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5888,9</w:t>
            </w:r>
          </w:p>
        </w:tc>
        <w:tc>
          <w:tcPr>
            <w:tcW w:w="851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6046,5</w:t>
            </w:r>
          </w:p>
        </w:tc>
        <w:tc>
          <w:tcPr>
            <w:tcW w:w="850" w:type="dxa"/>
            <w:vAlign w:val="center"/>
          </w:tcPr>
          <w:p w:rsidR="005F4A6F" w:rsidRPr="004C5EDB" w:rsidRDefault="005F4A6F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  <w:tc>
          <w:tcPr>
            <w:tcW w:w="992" w:type="dxa"/>
          </w:tcPr>
          <w:p w:rsidR="005F4A6F" w:rsidRPr="004C5EDB" w:rsidRDefault="005F4A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A6F" w:rsidRPr="004C5EDB" w:rsidRDefault="005F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  <w:tc>
          <w:tcPr>
            <w:tcW w:w="993" w:type="dxa"/>
          </w:tcPr>
          <w:p w:rsidR="005F4A6F" w:rsidRPr="004C5EDB" w:rsidRDefault="005F4A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4A6F" w:rsidRPr="004C5EDB" w:rsidRDefault="005F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6304,2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4C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бюджет- 30870,3 </w:t>
            </w: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6254,3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ЧР-  355,9 тыс.руб.</w:t>
            </w:r>
          </w:p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199,7 тыс.руб.</w:t>
            </w:r>
          </w:p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hAnsi="Times New Roman" w:cs="Times New Roman"/>
                <w:color w:val="332E2D"/>
                <w:spacing w:val="2"/>
                <w:sz w:val="20"/>
                <w:szCs w:val="20"/>
              </w:rPr>
              <w:t>Благоустройство общественных территорий Ибресинского района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12093,0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4C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бюджет- 11997,4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ЧР-  84,8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10,8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социально-культурной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-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31864,7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4C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бюджет- 0,0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ЧР-  30255,4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C5EDB" w:rsidRPr="004C5EDB" w:rsidTr="004C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A1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1609,3 тыс.руб.</w:t>
            </w:r>
          </w:p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B" w:rsidRPr="004C5EDB" w:rsidRDefault="004C5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5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DB" w:rsidRPr="004C5EDB" w:rsidRDefault="004C5EDB" w:rsidP="00186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152" w:rsidRPr="0098106F" w:rsidSect="004C5EDB">
          <w:pgSz w:w="16838" w:h="11906" w:orient="landscape"/>
          <w:pgMar w:top="851" w:right="849" w:bottom="993" w:left="1134" w:header="709" w:footer="709" w:gutter="0"/>
          <w:cols w:space="708"/>
          <w:docGrid w:linePitch="360"/>
        </w:sectPr>
      </w:pP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 годы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napToGri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6F">
        <w:rPr>
          <w:rFonts w:ascii="Times New Roman" w:hAnsi="Times New Roman"/>
          <w:color w:val="26282F"/>
          <w:sz w:val="24"/>
          <w:szCs w:val="24"/>
        </w:rPr>
        <w:t>А</w:t>
      </w:r>
      <w:r w:rsidRPr="0098106F">
        <w:rPr>
          <w:rFonts w:ascii="Times New Roman" w:hAnsi="Times New Roman"/>
          <w:sz w:val="24"/>
          <w:szCs w:val="24"/>
        </w:rPr>
        <w:t>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Ибресинского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</w:t>
      </w:r>
      <w:r w:rsidRPr="0098106F">
        <w:rPr>
          <w:rFonts w:ascii="Times New Roman" w:hAnsi="Times New Roman" w:cs="Times New Roman"/>
          <w:bCs/>
          <w:sz w:val="24"/>
          <w:szCs w:val="24"/>
        </w:rPr>
        <w:t xml:space="preserve"> на 2018-2024 годы »</w:t>
      </w:r>
    </w:p>
    <w:tbl>
      <w:tblPr>
        <w:tblpPr w:leftFromText="180" w:rightFromText="180" w:vertAnchor="text" w:tblpY="1"/>
        <w:tblOverlap w:val="never"/>
        <w:tblW w:w="96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4"/>
        <w:gridCol w:w="1984"/>
        <w:gridCol w:w="4678"/>
        <w:gridCol w:w="2409"/>
      </w:tblGrid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, кв. м.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д.9, д.11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д.17, д.19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д.61, д.63, д.65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Дзержинского, д.4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Почтовая, д.1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Советская, д. 35, д.36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13 "а"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15 "а"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19 "а"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B1737" w:rsidRPr="0098106F" w:rsidTr="001B1737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1737" w:rsidRPr="0098106F" w:rsidRDefault="001B1737" w:rsidP="00A1115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737" w:rsidRDefault="001B1737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современной</w:t>
      </w:r>
    </w:p>
    <w:p w:rsidR="00A11152" w:rsidRPr="0098106F" w:rsidRDefault="00A11152" w:rsidP="00A111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 годы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152" w:rsidRPr="0098106F" w:rsidRDefault="00A11152" w:rsidP="00A11152">
      <w:pPr>
        <w:snapToGri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6F">
        <w:rPr>
          <w:rFonts w:ascii="Times New Roman" w:hAnsi="Times New Roman"/>
          <w:color w:val="26282F"/>
          <w:sz w:val="24"/>
          <w:szCs w:val="24"/>
        </w:rPr>
        <w:t>А</w:t>
      </w:r>
      <w:r w:rsidRPr="0098106F">
        <w:rPr>
          <w:rFonts w:ascii="Times New Roman" w:hAnsi="Times New Roman"/>
          <w:sz w:val="24"/>
          <w:szCs w:val="24"/>
        </w:rPr>
        <w:t>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Ибресинского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</w:t>
      </w:r>
      <w:r w:rsidRPr="0098106F">
        <w:rPr>
          <w:rFonts w:ascii="Times New Roman" w:hAnsi="Times New Roman" w:cs="Times New Roman"/>
          <w:bCs/>
          <w:sz w:val="24"/>
          <w:szCs w:val="24"/>
        </w:rPr>
        <w:t xml:space="preserve"> на 2018-2024 годы »</w:t>
      </w:r>
    </w:p>
    <w:tbl>
      <w:tblPr>
        <w:tblW w:w="9371" w:type="dxa"/>
        <w:tblInd w:w="93" w:type="dxa"/>
        <w:tblLayout w:type="fixed"/>
        <w:tblLook w:val="04A0"/>
      </w:tblPr>
      <w:tblGrid>
        <w:gridCol w:w="636"/>
        <w:gridCol w:w="1931"/>
        <w:gridCol w:w="1559"/>
        <w:gridCol w:w="3260"/>
        <w:gridCol w:w="1985"/>
      </w:tblGrid>
      <w:tr w:rsidR="001B1737" w:rsidRPr="0098106F" w:rsidTr="001B1737">
        <w:trPr>
          <w:trHeight w:val="9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Площадь , кв. м.</w:t>
            </w:r>
          </w:p>
        </w:tc>
      </w:tr>
      <w:tr w:rsidR="001B1737" w:rsidRPr="0098106F" w:rsidTr="001B1737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1B1737" w:rsidRPr="0098106F" w:rsidTr="001B1737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207909</w:t>
            </w:r>
          </w:p>
        </w:tc>
      </w:tr>
      <w:tr w:rsidR="001B1737" w:rsidRPr="0098106F" w:rsidTr="001B1737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Буинск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B1737" w:rsidRPr="0098106F" w:rsidTr="001B1737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1B1737" w:rsidRPr="0098106F" w:rsidTr="001B1737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с. Хормалы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37" w:rsidRPr="0098106F" w:rsidRDefault="001B1737" w:rsidP="00A1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A11152" w:rsidRPr="0098106F" w:rsidRDefault="00A11152" w:rsidP="00A111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152" w:rsidRPr="0098106F" w:rsidSect="00A11152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A11152" w:rsidRPr="0098106F" w:rsidRDefault="00A11152" w:rsidP="001B1737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11152" w:rsidRPr="0098106F" w:rsidSect="00C4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531" w:rsidRDefault="00186531" w:rsidP="00A11152">
      <w:pPr>
        <w:spacing w:after="0" w:line="240" w:lineRule="auto"/>
      </w:pPr>
      <w:r>
        <w:separator/>
      </w:r>
    </w:p>
  </w:endnote>
  <w:endnote w:type="continuationSeparator" w:id="0">
    <w:p w:rsidR="00186531" w:rsidRDefault="00186531" w:rsidP="00A1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531" w:rsidRDefault="00186531" w:rsidP="00A11152">
      <w:pPr>
        <w:spacing w:after="0" w:line="240" w:lineRule="auto"/>
      </w:pPr>
      <w:r>
        <w:separator/>
      </w:r>
    </w:p>
  </w:footnote>
  <w:footnote w:type="continuationSeparator" w:id="0">
    <w:p w:rsidR="00186531" w:rsidRDefault="00186531" w:rsidP="00A11152">
      <w:pPr>
        <w:spacing w:after="0" w:line="240" w:lineRule="auto"/>
      </w:pPr>
      <w:r>
        <w:continuationSeparator/>
      </w:r>
    </w:p>
  </w:footnote>
  <w:footnote w:id="1">
    <w:p w:rsidR="00186531" w:rsidRPr="00F44B65" w:rsidRDefault="00186531" w:rsidP="00A11152">
      <w:pPr>
        <w:pStyle w:val="a6"/>
        <w:rPr>
          <w:rFonts w:ascii="Times New Roman" w:hAnsi="Times New Roman" w:cs="Times New Roman"/>
        </w:rPr>
      </w:pPr>
      <w:r w:rsidRPr="00F44B65">
        <w:rPr>
          <w:rStyle w:val="af1"/>
          <w:rFonts w:ascii="Times New Roman" w:hAnsi="Times New Roman" w:cs="Times New Roman"/>
        </w:rPr>
        <w:footnoteRef/>
      </w:r>
      <w:r w:rsidRPr="00F44B65">
        <w:rPr>
          <w:rFonts w:ascii="Times New Roman" w:hAnsi="Times New Roman" w:cs="Times New Roman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62885"/>
      <w:docPartObj>
        <w:docPartGallery w:val="Page Numbers (Top of Page)"/>
        <w:docPartUnique/>
      </w:docPartObj>
    </w:sdtPr>
    <w:sdtContent>
      <w:p w:rsidR="00186531" w:rsidRDefault="00341247">
        <w:pPr>
          <w:pStyle w:val="a8"/>
          <w:jc w:val="center"/>
        </w:pPr>
        <w:fldSimple w:instr=" PAGE   \* MERGEFORMAT ">
          <w:r w:rsidR="00505E68">
            <w:rPr>
              <w:noProof/>
            </w:rPr>
            <w:t>25</w:t>
          </w:r>
        </w:fldSimple>
      </w:p>
    </w:sdtContent>
  </w:sdt>
  <w:p w:rsidR="00186531" w:rsidRDefault="0018653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52"/>
    <w:rsid w:val="000C0ACB"/>
    <w:rsid w:val="00186531"/>
    <w:rsid w:val="001B1737"/>
    <w:rsid w:val="001D43B1"/>
    <w:rsid w:val="003054CC"/>
    <w:rsid w:val="00341247"/>
    <w:rsid w:val="003F794D"/>
    <w:rsid w:val="004904BB"/>
    <w:rsid w:val="004C5EDB"/>
    <w:rsid w:val="00505E68"/>
    <w:rsid w:val="005532D1"/>
    <w:rsid w:val="00574073"/>
    <w:rsid w:val="005F4A6F"/>
    <w:rsid w:val="008E5D00"/>
    <w:rsid w:val="00A11152"/>
    <w:rsid w:val="00C4267D"/>
    <w:rsid w:val="00C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1115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11152"/>
    <w:rPr>
      <w:b/>
      <w:bCs/>
      <w:color w:val="000080"/>
    </w:rPr>
  </w:style>
  <w:style w:type="character" w:customStyle="1" w:styleId="a5">
    <w:name w:val="Текст сноски Знак"/>
    <w:basedOn w:val="a0"/>
    <w:link w:val="a6"/>
    <w:uiPriority w:val="99"/>
    <w:semiHidden/>
    <w:rsid w:val="00A11152"/>
    <w:rPr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A11152"/>
    <w:pPr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A11152"/>
  </w:style>
  <w:style w:type="paragraph" w:styleId="a8">
    <w:name w:val="header"/>
    <w:basedOn w:val="a"/>
    <w:link w:val="a7"/>
    <w:uiPriority w:val="99"/>
    <w:unhideWhenUsed/>
    <w:rsid w:val="00A1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A11152"/>
  </w:style>
  <w:style w:type="paragraph" w:styleId="aa">
    <w:name w:val="footer"/>
    <w:basedOn w:val="a"/>
    <w:link w:val="a9"/>
    <w:uiPriority w:val="99"/>
    <w:semiHidden/>
    <w:unhideWhenUsed/>
    <w:rsid w:val="00A1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A1115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1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0"/>
    <w:link w:val="ae"/>
    <w:rsid w:val="00A11152"/>
    <w:rPr>
      <w:rFonts w:ascii="Arial" w:eastAsia="Times New Roman" w:hAnsi="Arial" w:cs="Times New Roman"/>
      <w:sz w:val="26"/>
      <w:szCs w:val="26"/>
    </w:rPr>
  </w:style>
  <w:style w:type="paragraph" w:styleId="ae">
    <w:name w:val="Body Text"/>
    <w:basedOn w:val="a"/>
    <w:link w:val="ad"/>
    <w:rsid w:val="00A11152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A111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A1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аголовок №2"/>
    <w:basedOn w:val="a"/>
    <w:rsid w:val="00A11152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rsid w:val="00A11152"/>
  </w:style>
  <w:style w:type="paragraph" w:customStyle="1" w:styleId="ConsPlusNormal">
    <w:name w:val="ConsPlusNormal"/>
    <w:uiPriority w:val="99"/>
    <w:rsid w:val="00A1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A111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4EABB3E4295D3FEBF5D8E1A597ECF716287F68E1740D33FDEA7CDD02BC2FEF833E34C9745C6F8E74C9Bm6y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242187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6198</Words>
  <Characters>35331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ibrconstract2</cp:lastModifiedBy>
  <cp:revision>3</cp:revision>
  <cp:lastPrinted>2020-03-18T08:03:00Z</cp:lastPrinted>
  <dcterms:created xsi:type="dcterms:W3CDTF">2019-10-16T05:14:00Z</dcterms:created>
  <dcterms:modified xsi:type="dcterms:W3CDTF">2020-03-18T11:36:00Z</dcterms:modified>
</cp:coreProperties>
</file>