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24" w:type="dxa"/>
        <w:tblLayout w:type="fixed"/>
        <w:tblLook w:val="0000" w:firstRow="0" w:lastRow="0" w:firstColumn="0" w:lastColumn="0" w:noHBand="0" w:noVBand="0"/>
      </w:tblPr>
      <w:tblGrid>
        <w:gridCol w:w="436"/>
        <w:gridCol w:w="1919"/>
        <w:gridCol w:w="240"/>
        <w:gridCol w:w="915"/>
        <w:gridCol w:w="1134"/>
        <w:gridCol w:w="762"/>
        <w:gridCol w:w="477"/>
        <w:gridCol w:w="1803"/>
        <w:gridCol w:w="240"/>
        <w:gridCol w:w="546"/>
        <w:gridCol w:w="783"/>
        <w:gridCol w:w="369"/>
      </w:tblGrid>
      <w:tr w:rsidR="002223EF" w:rsidRPr="007B629B" w:rsidTr="000068EA">
        <w:tc>
          <w:tcPr>
            <w:tcW w:w="46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23EF" w:rsidRPr="005A6854" w:rsidRDefault="002223EF" w:rsidP="000068EA">
            <w:pPr>
              <w:jc w:val="center"/>
              <w:rPr>
                <w:b/>
                <w:caps/>
              </w:rPr>
            </w:pPr>
            <w:r w:rsidRPr="005A6854">
              <w:rPr>
                <w:b/>
                <w:caps/>
              </w:rPr>
              <w:t xml:space="preserve">ЧӐВАШ РЕСПУБЛИКИН </w:t>
            </w:r>
          </w:p>
          <w:p w:rsidR="002223EF" w:rsidRPr="005A6854" w:rsidRDefault="002223EF" w:rsidP="000068EA">
            <w:pPr>
              <w:jc w:val="center"/>
              <w:rPr>
                <w:b/>
                <w:caps/>
              </w:rPr>
            </w:pPr>
            <w:r w:rsidRPr="005A6854">
              <w:rPr>
                <w:b/>
                <w:caps/>
              </w:rPr>
              <w:t>ЦИФРА АТАЛАНĂВĔПЕ</w:t>
            </w:r>
          </w:p>
          <w:p w:rsidR="002223EF" w:rsidRPr="005A6854" w:rsidRDefault="002223EF" w:rsidP="000068EA">
            <w:pPr>
              <w:jc w:val="center"/>
              <w:rPr>
                <w:b/>
                <w:caps/>
              </w:rPr>
            </w:pPr>
            <w:r w:rsidRPr="005A6854">
              <w:rPr>
                <w:b/>
                <w:caps/>
              </w:rPr>
              <w:t xml:space="preserve">ИНФОРМАЦИ ПОЛИТИКИН ТАТА </w:t>
            </w:r>
          </w:p>
          <w:p w:rsidR="002223EF" w:rsidRPr="005A6854" w:rsidRDefault="002223EF" w:rsidP="000068EA">
            <w:pPr>
              <w:jc w:val="center"/>
              <w:rPr>
                <w:b/>
                <w:caps/>
              </w:rPr>
            </w:pPr>
            <w:r w:rsidRPr="005A6854">
              <w:rPr>
                <w:b/>
                <w:caps/>
              </w:rPr>
              <w:t xml:space="preserve">МАССӐЛЛӐ КОММУНИКАЦИСЕН </w:t>
            </w:r>
          </w:p>
          <w:p w:rsidR="002223EF" w:rsidRPr="007B629B" w:rsidRDefault="002223EF" w:rsidP="000068EA">
            <w:pPr>
              <w:jc w:val="center"/>
              <w:rPr>
                <w:b/>
                <w:noProof/>
              </w:rPr>
            </w:pPr>
            <w:r w:rsidRPr="005A6854">
              <w:rPr>
                <w:b/>
                <w:caps/>
              </w:rPr>
              <w:t>МИНИСТЕРСТВИ</w:t>
            </w:r>
            <w:r>
              <w:rPr>
                <w:b/>
                <w:caps/>
              </w:rPr>
              <w:t xml:space="preserve"> 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2223EF" w:rsidRPr="007B629B" w:rsidRDefault="002223EF" w:rsidP="000068EA">
            <w:pPr>
              <w:jc w:val="center"/>
              <w:rPr>
                <w:b/>
                <w:noProof/>
              </w:rPr>
            </w:pPr>
          </w:p>
        </w:tc>
        <w:tc>
          <w:tcPr>
            <w:tcW w:w="42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23EF" w:rsidRPr="005A6854" w:rsidRDefault="002223EF" w:rsidP="000068EA">
            <w:pPr>
              <w:jc w:val="center"/>
              <w:rPr>
                <w:b/>
                <w:caps/>
              </w:rPr>
            </w:pPr>
            <w:r w:rsidRPr="005A6854">
              <w:rPr>
                <w:b/>
                <w:caps/>
              </w:rPr>
              <w:t xml:space="preserve">МИНИСТЕРСТВО </w:t>
            </w:r>
          </w:p>
          <w:p w:rsidR="002223EF" w:rsidRPr="005A6854" w:rsidRDefault="002223EF" w:rsidP="000068EA">
            <w:pPr>
              <w:jc w:val="center"/>
              <w:rPr>
                <w:b/>
                <w:caps/>
              </w:rPr>
            </w:pPr>
            <w:r w:rsidRPr="005A6854">
              <w:rPr>
                <w:b/>
                <w:caps/>
              </w:rPr>
              <w:t>ЦИФРОВОГО РАЗВИТИЯ,</w:t>
            </w:r>
          </w:p>
          <w:p w:rsidR="002223EF" w:rsidRPr="005A6854" w:rsidRDefault="002223EF" w:rsidP="000068EA">
            <w:pPr>
              <w:jc w:val="center"/>
              <w:rPr>
                <w:b/>
                <w:caps/>
              </w:rPr>
            </w:pPr>
            <w:r w:rsidRPr="005A6854">
              <w:rPr>
                <w:b/>
                <w:caps/>
              </w:rPr>
              <w:t xml:space="preserve">ИНФОРМАЦИОННОЙ ПОЛИТИКИ </w:t>
            </w:r>
          </w:p>
          <w:p w:rsidR="002223EF" w:rsidRPr="005A6854" w:rsidRDefault="002223EF" w:rsidP="000068EA">
            <w:pPr>
              <w:jc w:val="center"/>
              <w:rPr>
                <w:b/>
                <w:caps/>
              </w:rPr>
            </w:pPr>
            <w:r w:rsidRPr="005A6854">
              <w:rPr>
                <w:b/>
                <w:caps/>
              </w:rPr>
              <w:t xml:space="preserve">И МАССОВЫХ КОММУНИКАЦИЙ </w:t>
            </w:r>
          </w:p>
          <w:p w:rsidR="002223EF" w:rsidRPr="007B629B" w:rsidRDefault="002223EF" w:rsidP="000068EA">
            <w:pPr>
              <w:jc w:val="center"/>
              <w:rPr>
                <w:b/>
                <w:noProof/>
              </w:rPr>
            </w:pPr>
            <w:r w:rsidRPr="005A6854">
              <w:rPr>
                <w:b/>
                <w:caps/>
              </w:rPr>
              <w:t>ЧУВАШСКОЙ РЕСПУБЛИКИ</w:t>
            </w:r>
            <w:r>
              <w:rPr>
                <w:b/>
                <w:caps/>
              </w:rPr>
              <w:t xml:space="preserve"> </w:t>
            </w:r>
          </w:p>
        </w:tc>
      </w:tr>
      <w:tr w:rsidR="002223EF" w:rsidRPr="00E17140" w:rsidTr="000068EA">
        <w:tc>
          <w:tcPr>
            <w:tcW w:w="46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23EF" w:rsidRPr="00E17140" w:rsidRDefault="002223EF" w:rsidP="000068EA">
            <w:pPr>
              <w:pStyle w:val="4"/>
              <w:spacing w:before="100" w:beforeAutospacing="1" w:after="100" w:afterAutospacing="1"/>
              <w:jc w:val="center"/>
              <w:rPr>
                <w:b/>
                <w:noProof/>
                <w:szCs w:val="26"/>
                <w:lang w:val="ru-RU"/>
              </w:rPr>
            </w:pPr>
            <w:r w:rsidRPr="00E17140">
              <w:rPr>
                <w:b/>
                <w:szCs w:val="26"/>
                <w:lang w:val="ru-RU"/>
              </w:rPr>
              <w:t>ПРИКАЗ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2223EF" w:rsidRPr="007B629B" w:rsidRDefault="002223EF" w:rsidP="000068EA">
            <w:pPr>
              <w:spacing w:before="100" w:beforeAutospacing="1" w:after="100" w:afterAutospacing="1"/>
              <w:jc w:val="center"/>
              <w:rPr>
                <w:noProof/>
              </w:rPr>
            </w:pPr>
          </w:p>
        </w:tc>
        <w:tc>
          <w:tcPr>
            <w:tcW w:w="42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23EF" w:rsidRPr="00E17140" w:rsidRDefault="002223EF" w:rsidP="000068EA">
            <w:pPr>
              <w:pStyle w:val="8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 w:val="0"/>
                <w:noProof/>
                <w:sz w:val="26"/>
                <w:szCs w:val="26"/>
                <w:lang w:val="ru-RU"/>
              </w:rPr>
            </w:pPr>
            <w:r w:rsidRPr="00E17140">
              <w:rPr>
                <w:rFonts w:ascii="Times New Roman" w:hAnsi="Times New Roman"/>
                <w:b/>
                <w:i w:val="0"/>
                <w:sz w:val="26"/>
                <w:szCs w:val="26"/>
                <w:lang w:val="ru-RU"/>
              </w:rPr>
              <w:t>ПРИКАЗ</w:t>
            </w:r>
          </w:p>
        </w:tc>
      </w:tr>
      <w:tr w:rsidR="002223EF" w:rsidTr="000068EA"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2223EF" w:rsidRDefault="002223EF" w:rsidP="000068EA">
            <w:pPr>
              <w:jc w:val="center"/>
              <w:rPr>
                <w:noProof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23EF" w:rsidRDefault="001A26FB" w:rsidP="000068EA">
            <w:pPr>
              <w:jc w:val="center"/>
              <w:rPr>
                <w:noProof/>
              </w:rPr>
            </w:pPr>
            <w:r>
              <w:rPr>
                <w:noProof/>
              </w:rPr>
              <w:t>04.03.2019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2223EF" w:rsidRDefault="002223EF" w:rsidP="000068EA">
            <w:pPr>
              <w:jc w:val="center"/>
              <w:rPr>
                <w:noProof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23EF" w:rsidRDefault="002223EF" w:rsidP="000068EA">
            <w:pPr>
              <w:jc w:val="right"/>
              <w:rPr>
                <w:noProof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223EF" w:rsidRDefault="002223EF" w:rsidP="000068EA">
            <w:pPr>
              <w:rPr>
                <w:noProof/>
              </w:rPr>
            </w:pPr>
            <w:r>
              <w:rPr>
                <w:noProof/>
              </w:rPr>
              <w:t>№</w:t>
            </w:r>
            <w:r w:rsidR="001A26FB">
              <w:rPr>
                <w:noProof/>
              </w:rPr>
              <w:t xml:space="preserve"> 77/1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2223EF" w:rsidRDefault="002223EF" w:rsidP="000068EA">
            <w:pPr>
              <w:jc w:val="center"/>
              <w:rPr>
                <w:noProof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2223EF" w:rsidRDefault="002223EF" w:rsidP="000068EA">
            <w:pPr>
              <w:jc w:val="center"/>
              <w:rPr>
                <w:noProof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23EF" w:rsidRDefault="001A26FB" w:rsidP="000068EA">
            <w:pPr>
              <w:jc w:val="center"/>
              <w:rPr>
                <w:noProof/>
              </w:rPr>
            </w:pPr>
            <w:r>
              <w:rPr>
                <w:noProof/>
              </w:rPr>
              <w:t>04.03.2019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2223EF" w:rsidRDefault="002223EF" w:rsidP="000068EA">
            <w:pPr>
              <w:jc w:val="center"/>
              <w:rPr>
                <w:noProof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2223EF" w:rsidRDefault="002223EF" w:rsidP="000068EA">
            <w:pPr>
              <w:rPr>
                <w:noProof/>
              </w:rPr>
            </w:pPr>
            <w:r>
              <w:rPr>
                <w:noProof/>
              </w:rPr>
              <w:t xml:space="preserve">№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23EF" w:rsidRDefault="001A26FB" w:rsidP="000068EA">
            <w:pPr>
              <w:rPr>
                <w:noProof/>
              </w:rPr>
            </w:pPr>
            <w:r>
              <w:rPr>
                <w:noProof/>
              </w:rPr>
              <w:t>77/1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2223EF" w:rsidRDefault="002223EF" w:rsidP="000068EA">
            <w:pPr>
              <w:rPr>
                <w:noProof/>
              </w:rPr>
            </w:pPr>
          </w:p>
        </w:tc>
      </w:tr>
      <w:tr w:rsidR="002223EF" w:rsidTr="000068EA">
        <w:tc>
          <w:tcPr>
            <w:tcW w:w="46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23EF" w:rsidRDefault="002223EF" w:rsidP="000068EA">
            <w:pPr>
              <w:jc w:val="center"/>
              <w:rPr>
                <w:noProof/>
              </w:rPr>
            </w:pPr>
          </w:p>
          <w:p w:rsidR="002223EF" w:rsidRDefault="002223EF" w:rsidP="000068EA">
            <w:pPr>
              <w:jc w:val="center"/>
              <w:rPr>
                <w:noProof/>
              </w:rPr>
            </w:pPr>
            <w:r>
              <w:rPr>
                <w:noProof/>
              </w:rPr>
              <w:t>Шупашкар хули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2223EF" w:rsidRDefault="002223EF" w:rsidP="000068EA">
            <w:pPr>
              <w:jc w:val="center"/>
              <w:rPr>
                <w:noProof/>
              </w:rPr>
            </w:pPr>
          </w:p>
        </w:tc>
        <w:tc>
          <w:tcPr>
            <w:tcW w:w="42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23EF" w:rsidRDefault="002223EF" w:rsidP="000068EA">
            <w:pPr>
              <w:jc w:val="center"/>
              <w:rPr>
                <w:noProof/>
              </w:rPr>
            </w:pPr>
          </w:p>
          <w:p w:rsidR="002223EF" w:rsidRDefault="002223EF" w:rsidP="000068EA">
            <w:pPr>
              <w:jc w:val="center"/>
              <w:rPr>
                <w:noProof/>
              </w:rPr>
            </w:pPr>
            <w:r>
              <w:rPr>
                <w:noProof/>
              </w:rPr>
              <w:t>г. Чебоксары</w:t>
            </w:r>
          </w:p>
        </w:tc>
      </w:tr>
      <w:tr w:rsidR="002223EF" w:rsidTr="000068EA">
        <w:trPr>
          <w:trHeight w:val="332"/>
        </w:trPr>
        <w:tc>
          <w:tcPr>
            <w:tcW w:w="46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23EF" w:rsidRDefault="002223EF" w:rsidP="000068EA">
            <w:pPr>
              <w:jc w:val="center"/>
              <w:rPr>
                <w:noProof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2223EF" w:rsidRDefault="002223EF" w:rsidP="000068EA">
            <w:pPr>
              <w:jc w:val="center"/>
              <w:rPr>
                <w:noProof/>
              </w:rPr>
            </w:pPr>
          </w:p>
        </w:tc>
        <w:tc>
          <w:tcPr>
            <w:tcW w:w="42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23EF" w:rsidRDefault="002223EF" w:rsidP="000068EA">
            <w:pPr>
              <w:jc w:val="center"/>
              <w:rPr>
                <w:noProof/>
              </w:rPr>
            </w:pPr>
          </w:p>
        </w:tc>
      </w:tr>
    </w:tbl>
    <w:tbl>
      <w:tblPr>
        <w:tblpPr w:leftFromText="180" w:rightFromText="180" w:vertAnchor="text" w:horzAnchor="margin" w:tblpY="88"/>
        <w:tblW w:w="5206" w:type="dxa"/>
        <w:tblLayout w:type="fixed"/>
        <w:tblLook w:val="01E0" w:firstRow="1" w:lastRow="1" w:firstColumn="1" w:lastColumn="1" w:noHBand="0" w:noVBand="0"/>
      </w:tblPr>
      <w:tblGrid>
        <w:gridCol w:w="5206"/>
      </w:tblGrid>
      <w:tr w:rsidR="002223EF" w:rsidRPr="0065660A" w:rsidTr="000068EA">
        <w:trPr>
          <w:trHeight w:val="1473"/>
        </w:trPr>
        <w:tc>
          <w:tcPr>
            <w:tcW w:w="5206" w:type="dxa"/>
          </w:tcPr>
          <w:p w:rsidR="002223EF" w:rsidRPr="0065660A" w:rsidRDefault="002223EF" w:rsidP="000068EA">
            <w:pPr>
              <w:jc w:val="both"/>
              <w:rPr>
                <w:sz w:val="26"/>
                <w:szCs w:val="26"/>
                <w:lang w:eastAsia="en-US"/>
              </w:rPr>
            </w:pPr>
            <w:r w:rsidRPr="0065660A">
              <w:rPr>
                <w:sz w:val="26"/>
                <w:szCs w:val="26"/>
                <w:lang w:eastAsia="en-US"/>
              </w:rPr>
              <w:t>Об утверждении ключевых показателей</w:t>
            </w:r>
            <w:r w:rsidR="00DD3443">
              <w:rPr>
                <w:sz w:val="26"/>
                <w:szCs w:val="26"/>
                <w:lang w:eastAsia="en-US"/>
              </w:rPr>
              <w:t>,</w:t>
            </w:r>
            <w:r w:rsidRPr="0065660A">
              <w:rPr>
                <w:sz w:val="26"/>
                <w:szCs w:val="26"/>
                <w:lang w:eastAsia="en-US"/>
              </w:rPr>
              <w:t xml:space="preserve"> методики расчета ключевых показателей эффективности функционирования в  Мининформполитики Чувашии</w:t>
            </w:r>
            <w:r w:rsidR="002449CA">
              <w:rPr>
                <w:sz w:val="26"/>
                <w:szCs w:val="26"/>
                <w:lang w:eastAsia="en-US"/>
              </w:rPr>
              <w:t xml:space="preserve"> </w:t>
            </w:r>
            <w:r w:rsidR="002449CA" w:rsidRPr="001F65D3">
              <w:rPr>
                <w:rFonts w:eastAsia="Calibri"/>
                <w:sz w:val="26"/>
                <w:szCs w:val="26"/>
                <w:lang w:eastAsia="en-US"/>
              </w:rPr>
              <w:t xml:space="preserve"> антимонопольного комплаенса</w:t>
            </w:r>
            <w:r w:rsidR="002449CA">
              <w:rPr>
                <w:rFonts w:eastAsia="Calibri"/>
                <w:sz w:val="26"/>
                <w:szCs w:val="26"/>
                <w:lang w:eastAsia="en-US"/>
              </w:rPr>
              <w:t xml:space="preserve">, </w:t>
            </w:r>
            <w:r w:rsidR="002449CA">
              <w:rPr>
                <w:sz w:val="26"/>
                <w:szCs w:val="26"/>
                <w:lang w:bidi="ru-RU"/>
              </w:rPr>
              <w:t xml:space="preserve"> к</w:t>
            </w:r>
            <w:r w:rsidR="002449CA" w:rsidRPr="001F65D3">
              <w:rPr>
                <w:sz w:val="26"/>
                <w:szCs w:val="26"/>
                <w:lang w:bidi="ru-RU"/>
              </w:rPr>
              <w:t>арт</w:t>
            </w:r>
            <w:r w:rsidR="002449CA">
              <w:rPr>
                <w:sz w:val="26"/>
                <w:szCs w:val="26"/>
                <w:lang w:bidi="ru-RU"/>
              </w:rPr>
              <w:t>ы</w:t>
            </w:r>
            <w:r w:rsidR="002449CA" w:rsidRPr="001F65D3">
              <w:rPr>
                <w:sz w:val="26"/>
                <w:szCs w:val="26"/>
                <w:lang w:bidi="ru-RU"/>
              </w:rPr>
              <w:t xml:space="preserve"> комплаенс-рисков нарушения антимонопольного законодательства</w:t>
            </w:r>
            <w:r w:rsidR="002449CA">
              <w:rPr>
                <w:sz w:val="26"/>
                <w:szCs w:val="26"/>
                <w:lang w:bidi="ru-RU"/>
              </w:rPr>
              <w:t xml:space="preserve">  и </w:t>
            </w:r>
            <w:r w:rsidR="002449CA" w:rsidRPr="001F65D3">
              <w:rPr>
                <w:sz w:val="26"/>
                <w:szCs w:val="26"/>
                <w:lang w:bidi="ru-RU"/>
              </w:rPr>
              <w:t xml:space="preserve"> </w:t>
            </w:r>
            <w:r w:rsidR="002449CA">
              <w:rPr>
                <w:sz w:val="26"/>
                <w:szCs w:val="26"/>
                <w:lang w:bidi="ru-RU"/>
              </w:rPr>
              <w:t>п</w:t>
            </w:r>
            <w:r w:rsidR="002449CA" w:rsidRPr="001F65D3">
              <w:rPr>
                <w:sz w:val="26"/>
                <w:szCs w:val="26"/>
                <w:lang w:bidi="ru-RU"/>
              </w:rPr>
              <w:t>лан</w:t>
            </w:r>
            <w:r w:rsidR="002449CA">
              <w:rPr>
                <w:sz w:val="26"/>
                <w:szCs w:val="26"/>
                <w:lang w:bidi="ru-RU"/>
              </w:rPr>
              <w:t>а</w:t>
            </w:r>
            <w:r w:rsidR="002449CA" w:rsidRPr="001F65D3">
              <w:rPr>
                <w:sz w:val="26"/>
                <w:szCs w:val="26"/>
                <w:lang w:bidi="ru-RU"/>
              </w:rPr>
              <w:t xml:space="preserve"> мероприятий («дорожную карту») по снижению рисков нарушения анти</w:t>
            </w:r>
            <w:r w:rsidR="002449CA">
              <w:rPr>
                <w:sz w:val="26"/>
                <w:szCs w:val="26"/>
                <w:lang w:bidi="ru-RU"/>
              </w:rPr>
              <w:t>монопольного законодательства</w:t>
            </w:r>
          </w:p>
          <w:p w:rsidR="002223EF" w:rsidRPr="0065660A" w:rsidRDefault="002223EF" w:rsidP="000068EA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2223EF" w:rsidRPr="0065660A" w:rsidRDefault="002223EF" w:rsidP="002223EF">
      <w:pPr>
        <w:ind w:firstLine="709"/>
        <w:jc w:val="both"/>
        <w:rPr>
          <w:b/>
          <w:sz w:val="26"/>
          <w:szCs w:val="26"/>
          <w:lang w:eastAsia="en-US"/>
        </w:rPr>
      </w:pPr>
    </w:p>
    <w:p w:rsidR="002223EF" w:rsidRPr="0065660A" w:rsidRDefault="002223EF" w:rsidP="002223EF">
      <w:pPr>
        <w:ind w:firstLine="709"/>
        <w:jc w:val="both"/>
        <w:rPr>
          <w:bCs/>
          <w:sz w:val="26"/>
          <w:szCs w:val="26"/>
          <w:lang w:eastAsia="en-US"/>
        </w:rPr>
      </w:pPr>
    </w:p>
    <w:p w:rsidR="002223EF" w:rsidRPr="0065660A" w:rsidRDefault="002223EF" w:rsidP="002223EF">
      <w:pPr>
        <w:tabs>
          <w:tab w:val="left" w:pos="426"/>
          <w:tab w:val="left" w:pos="709"/>
          <w:tab w:val="left" w:pos="851"/>
        </w:tabs>
        <w:ind w:firstLine="709"/>
        <w:jc w:val="both"/>
        <w:rPr>
          <w:bCs/>
          <w:sz w:val="26"/>
          <w:szCs w:val="26"/>
          <w:lang w:eastAsia="en-US"/>
        </w:rPr>
      </w:pPr>
    </w:p>
    <w:p w:rsidR="002223EF" w:rsidRPr="0065660A" w:rsidRDefault="002223EF" w:rsidP="002223EF">
      <w:pPr>
        <w:tabs>
          <w:tab w:val="left" w:pos="993"/>
        </w:tabs>
        <w:suppressAutoHyphens/>
        <w:ind w:firstLine="709"/>
        <w:contextualSpacing/>
        <w:jc w:val="both"/>
        <w:rPr>
          <w:sz w:val="26"/>
          <w:szCs w:val="26"/>
          <w:lang w:eastAsia="ar-SA"/>
        </w:rPr>
      </w:pPr>
      <w:r w:rsidRPr="0065660A">
        <w:rPr>
          <w:sz w:val="26"/>
          <w:szCs w:val="26"/>
          <w:lang w:eastAsia="ar-SA"/>
        </w:rPr>
        <w:t xml:space="preserve"> </w:t>
      </w:r>
    </w:p>
    <w:p w:rsidR="002223EF" w:rsidRPr="0065660A" w:rsidRDefault="002223EF" w:rsidP="002223EF">
      <w:pPr>
        <w:tabs>
          <w:tab w:val="left" w:pos="993"/>
        </w:tabs>
        <w:suppressAutoHyphens/>
        <w:ind w:firstLine="709"/>
        <w:contextualSpacing/>
        <w:jc w:val="both"/>
        <w:rPr>
          <w:sz w:val="26"/>
          <w:szCs w:val="26"/>
          <w:lang w:eastAsia="ar-SA"/>
        </w:rPr>
      </w:pPr>
    </w:p>
    <w:p w:rsidR="002223EF" w:rsidRPr="0065660A" w:rsidRDefault="002223EF" w:rsidP="002223EF">
      <w:pPr>
        <w:tabs>
          <w:tab w:val="left" w:pos="993"/>
        </w:tabs>
        <w:suppressAutoHyphens/>
        <w:ind w:firstLine="709"/>
        <w:contextualSpacing/>
        <w:jc w:val="both"/>
        <w:rPr>
          <w:sz w:val="26"/>
          <w:szCs w:val="26"/>
          <w:lang w:eastAsia="ar-SA"/>
        </w:rPr>
      </w:pPr>
    </w:p>
    <w:p w:rsidR="002223EF" w:rsidRPr="001F65D3" w:rsidRDefault="002223EF" w:rsidP="002223EF">
      <w:pPr>
        <w:ind w:firstLine="540"/>
        <w:jc w:val="both"/>
        <w:rPr>
          <w:rFonts w:eastAsia="Calibri"/>
          <w:sz w:val="26"/>
          <w:szCs w:val="26"/>
          <w:lang w:eastAsia="en-US"/>
        </w:rPr>
      </w:pPr>
    </w:p>
    <w:p w:rsidR="002449CA" w:rsidRDefault="002449CA" w:rsidP="002223EF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2449CA" w:rsidRDefault="002449CA" w:rsidP="002223EF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2449CA" w:rsidRDefault="002449CA" w:rsidP="002223EF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2449CA" w:rsidRDefault="002449CA" w:rsidP="002223EF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2449CA" w:rsidRDefault="002449CA" w:rsidP="002223EF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2223EF" w:rsidRPr="0065660A" w:rsidRDefault="002223EF" w:rsidP="002223E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F65D3">
        <w:rPr>
          <w:rFonts w:eastAsia="Calibri"/>
          <w:sz w:val="26"/>
          <w:szCs w:val="26"/>
          <w:lang w:eastAsia="en-US"/>
        </w:rPr>
        <w:t>В</w:t>
      </w:r>
      <w:r w:rsidRPr="0065660A">
        <w:rPr>
          <w:rFonts w:eastAsia="Calibri"/>
          <w:sz w:val="26"/>
          <w:szCs w:val="26"/>
          <w:lang w:eastAsia="en-US"/>
        </w:rPr>
        <w:t xml:space="preserve"> соответствии с приказом Мининформполитики Чувашии от 13 февраля</w:t>
      </w:r>
      <w:r w:rsidR="001F65D3">
        <w:rPr>
          <w:rFonts w:eastAsia="Calibri"/>
          <w:sz w:val="26"/>
          <w:szCs w:val="26"/>
          <w:lang w:eastAsia="en-US"/>
        </w:rPr>
        <w:br/>
      </w:r>
      <w:r w:rsidRPr="0065660A">
        <w:rPr>
          <w:rFonts w:eastAsia="Calibri"/>
          <w:sz w:val="26"/>
          <w:szCs w:val="26"/>
          <w:lang w:eastAsia="en-US"/>
        </w:rPr>
        <w:t>2019 г. № 64 «Об утверждении Положения об организации в Министерстве цифрового развития, информационной политики и массовых коммуникаций Чувашской Республики системы внутреннего обеспечения соответствия требованиям антимонопольного законодательства» приказываю:</w:t>
      </w:r>
    </w:p>
    <w:p w:rsidR="002223EF" w:rsidRPr="0065660A" w:rsidRDefault="002223EF" w:rsidP="002223EF">
      <w:pPr>
        <w:numPr>
          <w:ilvl w:val="0"/>
          <w:numId w:val="1"/>
        </w:numPr>
        <w:overflowPunct/>
        <w:jc w:val="both"/>
        <w:textAlignment w:val="auto"/>
        <w:rPr>
          <w:rFonts w:eastAsia="Calibri"/>
          <w:sz w:val="26"/>
          <w:szCs w:val="26"/>
          <w:lang w:eastAsia="en-US"/>
        </w:rPr>
      </w:pPr>
      <w:r w:rsidRPr="0065660A">
        <w:rPr>
          <w:rFonts w:eastAsia="Calibri"/>
          <w:sz w:val="26"/>
          <w:szCs w:val="26"/>
          <w:lang w:eastAsia="en-US"/>
        </w:rPr>
        <w:t>Утвердить:</w:t>
      </w:r>
    </w:p>
    <w:p w:rsidR="002223EF" w:rsidRPr="001F65D3" w:rsidRDefault="002223EF" w:rsidP="002223E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5660A">
        <w:rPr>
          <w:rFonts w:eastAsia="Calibri"/>
          <w:sz w:val="26"/>
          <w:szCs w:val="26"/>
          <w:lang w:eastAsia="en-US"/>
        </w:rPr>
        <w:t xml:space="preserve">Ключевые </w:t>
      </w:r>
      <w:hyperlink w:anchor="Par24" w:history="1">
        <w:r w:rsidRPr="0065660A">
          <w:rPr>
            <w:rFonts w:eastAsia="Calibri"/>
            <w:sz w:val="26"/>
            <w:szCs w:val="26"/>
            <w:lang w:eastAsia="en-US"/>
          </w:rPr>
          <w:t>показатели</w:t>
        </w:r>
      </w:hyperlink>
      <w:r w:rsidRPr="0065660A">
        <w:rPr>
          <w:rFonts w:eastAsia="Calibri"/>
          <w:sz w:val="26"/>
          <w:szCs w:val="26"/>
          <w:lang w:eastAsia="en-US"/>
        </w:rPr>
        <w:t xml:space="preserve"> эффективности функционирования антимонопольного комплаенса в Министерстве цифрового развития, информационной политики и </w:t>
      </w:r>
      <w:r w:rsidRPr="001F65D3">
        <w:rPr>
          <w:rFonts w:eastAsia="Calibri"/>
          <w:sz w:val="26"/>
          <w:szCs w:val="26"/>
          <w:lang w:eastAsia="en-US"/>
        </w:rPr>
        <w:t>массовых коммуникаций Чувашской Республики (приложение № 1);</w:t>
      </w:r>
    </w:p>
    <w:p w:rsidR="002223EF" w:rsidRPr="001F65D3" w:rsidRDefault="0003749C" w:rsidP="002223E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hyperlink w:anchor="Par45" w:history="1">
        <w:r w:rsidR="002223EF" w:rsidRPr="001F65D3">
          <w:rPr>
            <w:rFonts w:eastAsia="Calibri"/>
            <w:sz w:val="26"/>
            <w:szCs w:val="26"/>
            <w:lang w:eastAsia="en-US"/>
          </w:rPr>
          <w:t>Методику</w:t>
        </w:r>
      </w:hyperlink>
      <w:r w:rsidR="002223EF" w:rsidRPr="001F65D3">
        <w:rPr>
          <w:rFonts w:eastAsia="Calibri"/>
          <w:sz w:val="26"/>
          <w:szCs w:val="26"/>
          <w:lang w:eastAsia="en-US"/>
        </w:rPr>
        <w:t xml:space="preserve"> расчета ключевых показателей эффективности функционирования в Министерстве цифрового развития, информационной политики и массовых коммуникаций Чувашской Республики антимонопольного комплаенса (приложение №</w:t>
      </w:r>
      <w:r w:rsidR="001F65D3">
        <w:rPr>
          <w:rFonts w:eastAsia="Calibri"/>
          <w:sz w:val="26"/>
          <w:szCs w:val="26"/>
          <w:lang w:eastAsia="en-US"/>
        </w:rPr>
        <w:t xml:space="preserve"> 2);</w:t>
      </w:r>
    </w:p>
    <w:p w:rsidR="005A23D7" w:rsidRPr="001F65D3" w:rsidRDefault="001F65D3" w:rsidP="005A23D7">
      <w:pPr>
        <w:widowControl w:val="0"/>
        <w:tabs>
          <w:tab w:val="left" w:pos="1301"/>
        </w:tabs>
        <w:ind w:firstLine="709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>К</w:t>
      </w:r>
      <w:r w:rsidR="005A23D7" w:rsidRPr="001F65D3">
        <w:rPr>
          <w:sz w:val="26"/>
          <w:szCs w:val="26"/>
          <w:lang w:bidi="ru-RU"/>
        </w:rPr>
        <w:t xml:space="preserve">арту комплаенс-рисков нарушения антимонопольного законодательства в </w:t>
      </w:r>
      <w:r w:rsidRPr="0065660A">
        <w:rPr>
          <w:rFonts w:eastAsia="Calibri"/>
          <w:sz w:val="26"/>
          <w:szCs w:val="26"/>
          <w:lang w:eastAsia="en-US"/>
        </w:rPr>
        <w:t xml:space="preserve">Министерстве цифрового развития, информационной политики и </w:t>
      </w:r>
      <w:r w:rsidRPr="001F65D3">
        <w:rPr>
          <w:rFonts w:eastAsia="Calibri"/>
          <w:sz w:val="26"/>
          <w:szCs w:val="26"/>
          <w:lang w:eastAsia="en-US"/>
        </w:rPr>
        <w:t>массовых коммуникаций Чувашской Республики</w:t>
      </w:r>
      <w:r>
        <w:rPr>
          <w:sz w:val="26"/>
          <w:szCs w:val="26"/>
          <w:lang w:bidi="ru-RU"/>
        </w:rPr>
        <w:t xml:space="preserve"> </w:t>
      </w:r>
      <w:r w:rsidR="005A23D7" w:rsidRPr="001F65D3">
        <w:rPr>
          <w:sz w:val="26"/>
          <w:szCs w:val="26"/>
          <w:lang w:bidi="ru-RU"/>
        </w:rPr>
        <w:t>на 2019 год</w:t>
      </w:r>
      <w:r>
        <w:rPr>
          <w:sz w:val="26"/>
          <w:szCs w:val="26"/>
          <w:lang w:bidi="ru-RU"/>
        </w:rPr>
        <w:t xml:space="preserve"> </w:t>
      </w:r>
      <w:r w:rsidRPr="001F65D3">
        <w:rPr>
          <w:rFonts w:eastAsia="Calibri"/>
          <w:sz w:val="26"/>
          <w:szCs w:val="26"/>
          <w:lang w:eastAsia="en-US"/>
        </w:rPr>
        <w:t xml:space="preserve">(приложение № </w:t>
      </w:r>
      <w:r>
        <w:rPr>
          <w:rFonts w:eastAsia="Calibri"/>
          <w:sz w:val="26"/>
          <w:szCs w:val="26"/>
          <w:lang w:eastAsia="en-US"/>
        </w:rPr>
        <w:t>3</w:t>
      </w:r>
      <w:r w:rsidRPr="001F65D3">
        <w:rPr>
          <w:rFonts w:eastAsia="Calibri"/>
          <w:sz w:val="26"/>
          <w:szCs w:val="26"/>
          <w:lang w:eastAsia="en-US"/>
        </w:rPr>
        <w:t>)</w:t>
      </w:r>
      <w:r>
        <w:rPr>
          <w:sz w:val="26"/>
          <w:szCs w:val="26"/>
          <w:lang w:bidi="ru-RU"/>
        </w:rPr>
        <w:t>;</w:t>
      </w:r>
    </w:p>
    <w:p w:rsidR="005A23D7" w:rsidRPr="001F65D3" w:rsidRDefault="005A23D7" w:rsidP="005A23D7">
      <w:pPr>
        <w:widowControl w:val="0"/>
        <w:tabs>
          <w:tab w:val="left" w:pos="1167"/>
        </w:tabs>
        <w:ind w:firstLine="709"/>
        <w:jc w:val="both"/>
        <w:rPr>
          <w:color w:val="000000"/>
          <w:sz w:val="26"/>
          <w:szCs w:val="26"/>
          <w:lang w:bidi="ru-RU"/>
        </w:rPr>
      </w:pPr>
      <w:r w:rsidRPr="001F65D3">
        <w:rPr>
          <w:sz w:val="26"/>
          <w:szCs w:val="26"/>
          <w:lang w:bidi="ru-RU"/>
        </w:rPr>
        <w:t>План мероприятий («дорожную карту») по снижению рисков нарушения анти</w:t>
      </w:r>
      <w:r w:rsidR="001F65D3">
        <w:rPr>
          <w:sz w:val="26"/>
          <w:szCs w:val="26"/>
          <w:lang w:bidi="ru-RU"/>
        </w:rPr>
        <w:t>монопольного законодательства в</w:t>
      </w:r>
      <w:r w:rsidR="001F65D3" w:rsidRPr="0065660A">
        <w:rPr>
          <w:rFonts w:eastAsia="Calibri"/>
          <w:sz w:val="26"/>
          <w:szCs w:val="26"/>
          <w:lang w:eastAsia="en-US"/>
        </w:rPr>
        <w:t xml:space="preserve"> Министерстве цифрового развития, информационной политики и </w:t>
      </w:r>
      <w:r w:rsidR="001F65D3" w:rsidRPr="001F65D3">
        <w:rPr>
          <w:rFonts w:eastAsia="Calibri"/>
          <w:sz w:val="26"/>
          <w:szCs w:val="26"/>
          <w:lang w:eastAsia="en-US"/>
        </w:rPr>
        <w:t>массовых коммуникаций Чувашской Республики</w:t>
      </w:r>
      <w:r w:rsidRPr="001F65D3">
        <w:rPr>
          <w:sz w:val="26"/>
          <w:szCs w:val="26"/>
          <w:lang w:bidi="ru-RU"/>
        </w:rPr>
        <w:t xml:space="preserve"> на 2019 год</w:t>
      </w:r>
      <w:r w:rsidRPr="001F65D3">
        <w:rPr>
          <w:color w:val="000000"/>
          <w:sz w:val="26"/>
          <w:szCs w:val="26"/>
          <w:lang w:bidi="ru-RU"/>
        </w:rPr>
        <w:t xml:space="preserve"> согласно </w:t>
      </w:r>
      <w:r w:rsidR="001F65D3" w:rsidRPr="001F65D3">
        <w:rPr>
          <w:rFonts w:eastAsia="Calibri"/>
          <w:sz w:val="26"/>
          <w:szCs w:val="26"/>
          <w:lang w:eastAsia="en-US"/>
        </w:rPr>
        <w:t xml:space="preserve">(приложение № </w:t>
      </w:r>
      <w:r w:rsidR="001F65D3">
        <w:rPr>
          <w:rFonts w:eastAsia="Calibri"/>
          <w:sz w:val="26"/>
          <w:szCs w:val="26"/>
          <w:lang w:eastAsia="en-US"/>
        </w:rPr>
        <w:t>4</w:t>
      </w:r>
      <w:r w:rsidR="001F65D3" w:rsidRPr="001F65D3">
        <w:rPr>
          <w:rFonts w:eastAsia="Calibri"/>
          <w:sz w:val="26"/>
          <w:szCs w:val="26"/>
          <w:lang w:eastAsia="en-US"/>
        </w:rPr>
        <w:t>)</w:t>
      </w:r>
      <w:r w:rsidRPr="001F65D3">
        <w:rPr>
          <w:color w:val="000000"/>
          <w:sz w:val="26"/>
          <w:szCs w:val="26"/>
          <w:lang w:bidi="ru-RU"/>
        </w:rPr>
        <w:t>.</w:t>
      </w:r>
    </w:p>
    <w:p w:rsidR="002223EF" w:rsidRPr="001F65D3" w:rsidRDefault="002223EF" w:rsidP="002223EF">
      <w:pPr>
        <w:widowControl w:val="0"/>
        <w:ind w:firstLine="709"/>
        <w:jc w:val="both"/>
        <w:rPr>
          <w:sz w:val="26"/>
          <w:szCs w:val="26"/>
        </w:rPr>
      </w:pPr>
      <w:r w:rsidRPr="001F65D3">
        <w:rPr>
          <w:sz w:val="26"/>
          <w:szCs w:val="26"/>
        </w:rPr>
        <w:t>2. Контроль за исполнением приказа оставляю за собой.</w:t>
      </w:r>
    </w:p>
    <w:p w:rsidR="002223EF" w:rsidRPr="001F65D3" w:rsidRDefault="002223EF" w:rsidP="002223EF">
      <w:pPr>
        <w:ind w:firstLine="709"/>
        <w:jc w:val="both"/>
        <w:rPr>
          <w:b/>
          <w:sz w:val="26"/>
          <w:szCs w:val="26"/>
          <w:lang w:eastAsia="en-US"/>
        </w:rPr>
      </w:pPr>
    </w:p>
    <w:p w:rsidR="002223EF" w:rsidRPr="001F65D3" w:rsidRDefault="002223EF" w:rsidP="002223EF">
      <w:pPr>
        <w:jc w:val="both"/>
        <w:rPr>
          <w:sz w:val="26"/>
          <w:szCs w:val="26"/>
          <w:lang w:eastAsia="en-US"/>
        </w:rPr>
      </w:pPr>
    </w:p>
    <w:p w:rsidR="002223EF" w:rsidRPr="001F65D3" w:rsidRDefault="002223EF" w:rsidP="002223EF">
      <w:pPr>
        <w:jc w:val="both"/>
        <w:rPr>
          <w:sz w:val="26"/>
          <w:szCs w:val="26"/>
          <w:lang w:eastAsia="en-US"/>
        </w:rPr>
      </w:pPr>
    </w:p>
    <w:p w:rsidR="002223EF" w:rsidRPr="0065660A" w:rsidRDefault="002223EF" w:rsidP="002223EF">
      <w:pPr>
        <w:jc w:val="both"/>
        <w:rPr>
          <w:sz w:val="26"/>
          <w:szCs w:val="26"/>
          <w:lang w:eastAsia="en-US"/>
        </w:rPr>
      </w:pPr>
      <w:r w:rsidRPr="0065660A">
        <w:rPr>
          <w:sz w:val="26"/>
          <w:szCs w:val="26"/>
          <w:lang w:eastAsia="en-US"/>
        </w:rPr>
        <w:t>Министр</w:t>
      </w:r>
      <w:r w:rsidRPr="0065660A">
        <w:rPr>
          <w:sz w:val="26"/>
          <w:szCs w:val="26"/>
          <w:lang w:eastAsia="en-US"/>
        </w:rPr>
        <w:tab/>
      </w:r>
      <w:r w:rsidRPr="0065660A">
        <w:rPr>
          <w:sz w:val="26"/>
          <w:szCs w:val="26"/>
          <w:lang w:eastAsia="en-US"/>
        </w:rPr>
        <w:tab/>
      </w:r>
      <w:r w:rsidRPr="0065660A">
        <w:rPr>
          <w:sz w:val="26"/>
          <w:szCs w:val="26"/>
          <w:lang w:eastAsia="en-US"/>
        </w:rPr>
        <w:tab/>
      </w:r>
      <w:r w:rsidRPr="0065660A">
        <w:rPr>
          <w:sz w:val="26"/>
          <w:szCs w:val="26"/>
          <w:lang w:eastAsia="en-US"/>
        </w:rPr>
        <w:tab/>
      </w:r>
      <w:r w:rsidRPr="0065660A">
        <w:rPr>
          <w:sz w:val="26"/>
          <w:szCs w:val="26"/>
          <w:lang w:eastAsia="en-US"/>
        </w:rPr>
        <w:tab/>
        <w:t xml:space="preserve">           </w:t>
      </w:r>
      <w:r>
        <w:rPr>
          <w:sz w:val="26"/>
          <w:szCs w:val="26"/>
          <w:lang w:eastAsia="en-US"/>
        </w:rPr>
        <w:t xml:space="preserve">  </w:t>
      </w:r>
      <w:r w:rsidRPr="0065660A">
        <w:rPr>
          <w:sz w:val="26"/>
          <w:szCs w:val="26"/>
          <w:lang w:eastAsia="en-US"/>
        </w:rPr>
        <w:t xml:space="preserve">                        </w:t>
      </w:r>
      <w:r w:rsidRPr="0065660A">
        <w:rPr>
          <w:sz w:val="26"/>
          <w:szCs w:val="26"/>
          <w:lang w:eastAsia="en-US"/>
        </w:rPr>
        <w:tab/>
        <w:t xml:space="preserve">    </w:t>
      </w:r>
      <w:r>
        <w:rPr>
          <w:sz w:val="26"/>
          <w:szCs w:val="26"/>
          <w:lang w:eastAsia="en-US"/>
        </w:rPr>
        <w:t xml:space="preserve">     </w:t>
      </w:r>
      <w:r w:rsidRPr="0065660A">
        <w:rPr>
          <w:sz w:val="26"/>
          <w:szCs w:val="26"/>
          <w:lang w:eastAsia="en-US"/>
        </w:rPr>
        <w:t>М.В. Анисимов</w:t>
      </w:r>
    </w:p>
    <w:p w:rsidR="002223EF" w:rsidRPr="0065660A" w:rsidRDefault="002223EF" w:rsidP="002223EF">
      <w:pPr>
        <w:ind w:firstLine="709"/>
        <w:jc w:val="both"/>
        <w:rPr>
          <w:sz w:val="26"/>
          <w:szCs w:val="26"/>
          <w:lang w:eastAsia="en-US"/>
        </w:rPr>
        <w:sectPr w:rsidR="002223EF" w:rsidRPr="0065660A" w:rsidSect="007908C9">
          <w:pgSz w:w="11906" w:h="16838"/>
          <w:pgMar w:top="851" w:right="707" w:bottom="284" w:left="1560" w:header="708" w:footer="708" w:gutter="0"/>
          <w:cols w:space="708"/>
          <w:docGrid w:linePitch="360"/>
        </w:sectPr>
      </w:pPr>
    </w:p>
    <w:p w:rsidR="002223EF" w:rsidRPr="0065660A" w:rsidRDefault="002223EF" w:rsidP="002223EF">
      <w:pPr>
        <w:ind w:left="5103"/>
        <w:jc w:val="center"/>
        <w:rPr>
          <w:sz w:val="26"/>
          <w:szCs w:val="26"/>
          <w:lang w:eastAsia="en-US"/>
        </w:rPr>
      </w:pPr>
      <w:r w:rsidRPr="0065660A">
        <w:rPr>
          <w:sz w:val="26"/>
          <w:szCs w:val="26"/>
          <w:lang w:eastAsia="en-US"/>
        </w:rPr>
        <w:t>Утверждены</w:t>
      </w:r>
    </w:p>
    <w:p w:rsidR="002223EF" w:rsidRPr="0065660A" w:rsidRDefault="002223EF" w:rsidP="002223EF">
      <w:pPr>
        <w:ind w:left="5103"/>
        <w:jc w:val="center"/>
        <w:rPr>
          <w:sz w:val="26"/>
          <w:szCs w:val="26"/>
          <w:lang w:eastAsia="en-US"/>
        </w:rPr>
      </w:pPr>
      <w:r w:rsidRPr="0065660A">
        <w:rPr>
          <w:sz w:val="26"/>
          <w:szCs w:val="26"/>
          <w:lang w:eastAsia="en-US"/>
        </w:rPr>
        <w:t>приказом Мининформполитики Чувашии от _____________  № _____</w:t>
      </w:r>
    </w:p>
    <w:p w:rsidR="002223EF" w:rsidRPr="0065660A" w:rsidRDefault="002223EF" w:rsidP="002223EF">
      <w:pPr>
        <w:ind w:left="5103"/>
        <w:jc w:val="center"/>
        <w:rPr>
          <w:sz w:val="26"/>
          <w:szCs w:val="26"/>
          <w:lang w:eastAsia="en-US"/>
        </w:rPr>
      </w:pPr>
      <w:r w:rsidRPr="0065660A">
        <w:rPr>
          <w:sz w:val="26"/>
          <w:szCs w:val="26"/>
          <w:lang w:eastAsia="en-US"/>
        </w:rPr>
        <w:t>(Приложение № 1)</w:t>
      </w:r>
    </w:p>
    <w:p w:rsidR="002223EF" w:rsidRPr="0065660A" w:rsidRDefault="002223EF" w:rsidP="002223EF">
      <w:pPr>
        <w:ind w:firstLine="709"/>
        <w:jc w:val="right"/>
        <w:rPr>
          <w:sz w:val="26"/>
          <w:szCs w:val="26"/>
          <w:lang w:eastAsia="en-US"/>
        </w:rPr>
      </w:pPr>
    </w:p>
    <w:p w:rsidR="002223EF" w:rsidRPr="0065660A" w:rsidRDefault="002223EF" w:rsidP="002223EF">
      <w:pPr>
        <w:widowControl w:val="0"/>
        <w:ind w:firstLine="709"/>
        <w:jc w:val="both"/>
        <w:rPr>
          <w:b/>
          <w:bCs/>
          <w:sz w:val="26"/>
          <w:szCs w:val="26"/>
        </w:rPr>
      </w:pPr>
    </w:p>
    <w:p w:rsidR="002223EF" w:rsidRPr="0065660A" w:rsidRDefault="002223EF" w:rsidP="002223EF">
      <w:pPr>
        <w:ind w:firstLine="709"/>
        <w:jc w:val="center"/>
        <w:rPr>
          <w:rFonts w:eastAsia="Calibri"/>
          <w:bCs/>
          <w:sz w:val="26"/>
          <w:szCs w:val="26"/>
          <w:lang w:eastAsia="en-US"/>
        </w:rPr>
      </w:pPr>
      <w:r w:rsidRPr="0065660A">
        <w:rPr>
          <w:rFonts w:eastAsia="Calibri"/>
          <w:bCs/>
          <w:sz w:val="26"/>
          <w:szCs w:val="26"/>
          <w:lang w:eastAsia="en-US"/>
        </w:rPr>
        <w:t>К</w:t>
      </w:r>
      <w:r>
        <w:rPr>
          <w:rFonts w:eastAsia="Calibri"/>
          <w:bCs/>
          <w:sz w:val="26"/>
          <w:szCs w:val="26"/>
          <w:lang w:eastAsia="en-US"/>
        </w:rPr>
        <w:t xml:space="preserve">лючевые показатели эффективности функционирования антимонопольного комплаенса в </w:t>
      </w:r>
      <w:r w:rsidRPr="0065660A">
        <w:rPr>
          <w:rFonts w:eastAsia="Calibri"/>
          <w:sz w:val="26"/>
          <w:szCs w:val="26"/>
          <w:lang w:eastAsia="en-US"/>
        </w:rPr>
        <w:t>Министерстве цифрового развития, информационной политики и массовых коммуникаций Чувашской Республики</w:t>
      </w:r>
    </w:p>
    <w:p w:rsidR="002223EF" w:rsidRPr="0065660A" w:rsidRDefault="002223EF" w:rsidP="002223EF">
      <w:pPr>
        <w:ind w:firstLine="709"/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:rsidR="002223EF" w:rsidRPr="0065660A" w:rsidRDefault="002223EF" w:rsidP="002223EF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2223EF" w:rsidRPr="0065660A" w:rsidRDefault="002223EF" w:rsidP="002223E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5660A">
        <w:rPr>
          <w:rFonts w:eastAsia="Calibri"/>
          <w:sz w:val="26"/>
          <w:szCs w:val="26"/>
          <w:lang w:eastAsia="en-US"/>
        </w:rPr>
        <w:t>1. Коэффициент снижения количества нарушений антимонопольного законодательства со стороны Министерств</w:t>
      </w:r>
      <w:r>
        <w:rPr>
          <w:rFonts w:eastAsia="Calibri"/>
          <w:sz w:val="26"/>
          <w:szCs w:val="26"/>
          <w:lang w:eastAsia="en-US"/>
        </w:rPr>
        <w:t>а</w:t>
      </w:r>
      <w:r w:rsidRPr="0065660A">
        <w:rPr>
          <w:rFonts w:eastAsia="Calibri"/>
          <w:sz w:val="26"/>
          <w:szCs w:val="26"/>
          <w:lang w:eastAsia="en-US"/>
        </w:rPr>
        <w:t xml:space="preserve"> цифрового развития, информационной политики и массовых коммуникаций Чувашской Республики (по сравнению с предыдущим годом) (далее -</w:t>
      </w:r>
      <w:r>
        <w:rPr>
          <w:rFonts w:eastAsia="Calibri"/>
          <w:sz w:val="26"/>
          <w:szCs w:val="26"/>
          <w:lang w:eastAsia="en-US"/>
        </w:rPr>
        <w:t xml:space="preserve"> Министерство</w:t>
      </w:r>
      <w:r w:rsidRPr="0065660A">
        <w:rPr>
          <w:rFonts w:eastAsia="Calibri"/>
          <w:sz w:val="26"/>
          <w:szCs w:val="26"/>
          <w:lang w:eastAsia="en-US"/>
        </w:rPr>
        <w:t>).</w:t>
      </w:r>
    </w:p>
    <w:p w:rsidR="002223EF" w:rsidRPr="0065660A" w:rsidRDefault="002223EF" w:rsidP="002223E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5660A">
        <w:rPr>
          <w:rFonts w:eastAsia="Calibri"/>
          <w:sz w:val="26"/>
          <w:szCs w:val="26"/>
          <w:lang w:eastAsia="en-US"/>
        </w:rPr>
        <w:t xml:space="preserve">2. Доля проектов нормативных правовых актов Чувашской Республики, разработанных </w:t>
      </w:r>
      <w:r>
        <w:rPr>
          <w:rFonts w:eastAsia="Calibri"/>
          <w:sz w:val="26"/>
          <w:szCs w:val="26"/>
          <w:lang w:eastAsia="en-US"/>
        </w:rPr>
        <w:t>Министерством</w:t>
      </w:r>
      <w:r w:rsidRPr="0065660A">
        <w:rPr>
          <w:rFonts w:eastAsia="Calibri"/>
          <w:sz w:val="26"/>
          <w:szCs w:val="26"/>
          <w:lang w:eastAsia="en-US"/>
        </w:rPr>
        <w:t xml:space="preserve"> по курируемым направлениям деятельности, и проектов ведомственных нормативных правовых актов </w:t>
      </w:r>
      <w:r>
        <w:rPr>
          <w:rFonts w:eastAsia="Calibri"/>
          <w:sz w:val="26"/>
          <w:szCs w:val="26"/>
          <w:lang w:eastAsia="en-US"/>
        </w:rPr>
        <w:t>Министерства</w:t>
      </w:r>
      <w:r w:rsidRPr="0065660A">
        <w:rPr>
          <w:rFonts w:eastAsia="Calibri"/>
          <w:sz w:val="26"/>
          <w:szCs w:val="26"/>
          <w:lang w:eastAsia="en-US"/>
        </w:rPr>
        <w:t>, в которых выявлены риски нарушения антимонопольного законодательства.</w:t>
      </w:r>
    </w:p>
    <w:p w:rsidR="002223EF" w:rsidRPr="0065660A" w:rsidRDefault="002223EF" w:rsidP="002223E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5660A">
        <w:rPr>
          <w:rFonts w:eastAsia="Calibri"/>
          <w:sz w:val="26"/>
          <w:szCs w:val="26"/>
          <w:lang w:eastAsia="en-US"/>
        </w:rPr>
        <w:t xml:space="preserve">3. Доля нормативных правовых актов Чувашской Республики, разработанных </w:t>
      </w:r>
      <w:r>
        <w:rPr>
          <w:rFonts w:eastAsia="Calibri"/>
          <w:sz w:val="26"/>
          <w:szCs w:val="26"/>
          <w:lang w:eastAsia="en-US"/>
        </w:rPr>
        <w:t>Министерством</w:t>
      </w:r>
      <w:r w:rsidRPr="0065660A">
        <w:rPr>
          <w:rFonts w:eastAsia="Calibri"/>
          <w:sz w:val="26"/>
          <w:szCs w:val="26"/>
          <w:lang w:eastAsia="en-US"/>
        </w:rPr>
        <w:t xml:space="preserve"> по курируемым направлениям деятельности, и ведомственных нормативных правовых актов </w:t>
      </w:r>
      <w:r>
        <w:rPr>
          <w:rFonts w:eastAsia="Calibri"/>
          <w:sz w:val="26"/>
          <w:szCs w:val="26"/>
          <w:lang w:eastAsia="en-US"/>
        </w:rPr>
        <w:t>Министерства</w:t>
      </w:r>
      <w:r w:rsidRPr="0065660A">
        <w:rPr>
          <w:rFonts w:eastAsia="Calibri"/>
          <w:sz w:val="26"/>
          <w:szCs w:val="26"/>
          <w:lang w:eastAsia="en-US"/>
        </w:rPr>
        <w:t>, в которых выявлены риски нарушения антимонопольного законодательства.</w:t>
      </w:r>
    </w:p>
    <w:p w:rsidR="002223EF" w:rsidRPr="0065660A" w:rsidRDefault="002223EF" w:rsidP="002223E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5660A">
        <w:rPr>
          <w:rFonts w:eastAsia="Calibri"/>
          <w:sz w:val="26"/>
          <w:szCs w:val="26"/>
          <w:lang w:eastAsia="en-US"/>
        </w:rPr>
        <w:t>4. Доля государственных гражданских служащих Чувашской Республики, замещающи</w:t>
      </w:r>
      <w:r w:rsidR="00720213">
        <w:rPr>
          <w:rFonts w:eastAsia="Calibri"/>
          <w:sz w:val="26"/>
          <w:szCs w:val="26"/>
          <w:lang w:eastAsia="en-US"/>
        </w:rPr>
        <w:t>х</w:t>
      </w:r>
      <w:r w:rsidRPr="0065660A">
        <w:rPr>
          <w:rFonts w:eastAsia="Calibri"/>
          <w:sz w:val="26"/>
          <w:szCs w:val="26"/>
          <w:lang w:eastAsia="en-US"/>
        </w:rPr>
        <w:t xml:space="preserve"> должности государственной гражданской службы Чувашской Республики в </w:t>
      </w:r>
      <w:r>
        <w:rPr>
          <w:rFonts w:eastAsia="Calibri"/>
          <w:sz w:val="26"/>
          <w:szCs w:val="26"/>
          <w:lang w:eastAsia="en-US"/>
        </w:rPr>
        <w:t>Министерстве</w:t>
      </w:r>
      <w:r w:rsidRPr="0065660A">
        <w:rPr>
          <w:rFonts w:eastAsia="Calibri"/>
          <w:sz w:val="26"/>
          <w:szCs w:val="26"/>
          <w:lang w:eastAsia="en-US"/>
        </w:rPr>
        <w:t>, в отношении которых были проведены обучающие мероприятия по антимонопольному законодательству и антимонопольному комплаенсу.</w:t>
      </w:r>
    </w:p>
    <w:p w:rsidR="002223EF" w:rsidRPr="0065660A" w:rsidRDefault="002223EF" w:rsidP="002223EF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2223EF" w:rsidRPr="0065660A" w:rsidRDefault="002223EF" w:rsidP="002223EF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2223EF" w:rsidRPr="0065660A" w:rsidRDefault="002223EF" w:rsidP="002223EF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2223EF" w:rsidRPr="0065660A" w:rsidRDefault="002223EF" w:rsidP="002223EF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2223EF" w:rsidRPr="0065660A" w:rsidRDefault="002223EF" w:rsidP="002223EF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2223EF" w:rsidRDefault="002223EF" w:rsidP="002223EF">
      <w:pPr>
        <w:ind w:firstLine="709"/>
        <w:jc w:val="right"/>
        <w:rPr>
          <w:rFonts w:eastAsia="Calibri"/>
          <w:sz w:val="26"/>
          <w:szCs w:val="26"/>
          <w:lang w:eastAsia="en-US"/>
        </w:rPr>
      </w:pPr>
    </w:p>
    <w:p w:rsidR="002223EF" w:rsidRDefault="002223EF" w:rsidP="002223EF">
      <w:pPr>
        <w:ind w:firstLine="709"/>
        <w:jc w:val="right"/>
        <w:rPr>
          <w:rFonts w:eastAsia="Calibri"/>
          <w:sz w:val="26"/>
          <w:szCs w:val="26"/>
          <w:lang w:eastAsia="en-US"/>
        </w:rPr>
      </w:pPr>
    </w:p>
    <w:p w:rsidR="002223EF" w:rsidRDefault="002223EF" w:rsidP="002223EF">
      <w:pPr>
        <w:ind w:firstLine="709"/>
        <w:jc w:val="right"/>
        <w:rPr>
          <w:rFonts w:eastAsia="Calibri"/>
          <w:sz w:val="26"/>
          <w:szCs w:val="26"/>
          <w:lang w:eastAsia="en-US"/>
        </w:rPr>
      </w:pPr>
    </w:p>
    <w:p w:rsidR="002223EF" w:rsidRDefault="002223EF" w:rsidP="002223EF">
      <w:pPr>
        <w:ind w:firstLine="709"/>
        <w:jc w:val="right"/>
        <w:rPr>
          <w:rFonts w:eastAsia="Calibri"/>
          <w:sz w:val="26"/>
          <w:szCs w:val="26"/>
          <w:lang w:eastAsia="en-US"/>
        </w:rPr>
      </w:pPr>
    </w:p>
    <w:p w:rsidR="002223EF" w:rsidRDefault="002223EF" w:rsidP="002223EF">
      <w:pPr>
        <w:ind w:firstLine="709"/>
        <w:jc w:val="right"/>
        <w:rPr>
          <w:rFonts w:eastAsia="Calibri"/>
          <w:sz w:val="26"/>
          <w:szCs w:val="26"/>
          <w:lang w:eastAsia="en-US"/>
        </w:rPr>
      </w:pPr>
    </w:p>
    <w:p w:rsidR="002223EF" w:rsidRDefault="002223EF" w:rsidP="002223EF">
      <w:pPr>
        <w:ind w:firstLine="709"/>
        <w:jc w:val="right"/>
        <w:rPr>
          <w:rFonts w:eastAsia="Calibri"/>
          <w:sz w:val="26"/>
          <w:szCs w:val="26"/>
          <w:lang w:eastAsia="en-US"/>
        </w:rPr>
      </w:pPr>
    </w:p>
    <w:p w:rsidR="002223EF" w:rsidRDefault="002223EF" w:rsidP="002223EF">
      <w:pPr>
        <w:ind w:firstLine="709"/>
        <w:jc w:val="right"/>
        <w:rPr>
          <w:rFonts w:eastAsia="Calibri"/>
          <w:sz w:val="26"/>
          <w:szCs w:val="26"/>
          <w:lang w:eastAsia="en-US"/>
        </w:rPr>
      </w:pPr>
    </w:p>
    <w:p w:rsidR="002223EF" w:rsidRDefault="002223EF" w:rsidP="002223EF">
      <w:pPr>
        <w:ind w:firstLine="709"/>
        <w:jc w:val="right"/>
        <w:rPr>
          <w:rFonts w:eastAsia="Calibri"/>
          <w:sz w:val="26"/>
          <w:szCs w:val="26"/>
          <w:lang w:eastAsia="en-US"/>
        </w:rPr>
      </w:pPr>
    </w:p>
    <w:p w:rsidR="002223EF" w:rsidRDefault="002223EF" w:rsidP="002223EF">
      <w:pPr>
        <w:ind w:firstLine="709"/>
        <w:jc w:val="right"/>
        <w:rPr>
          <w:rFonts w:eastAsia="Calibri"/>
          <w:sz w:val="26"/>
          <w:szCs w:val="26"/>
          <w:lang w:eastAsia="en-US"/>
        </w:rPr>
      </w:pPr>
    </w:p>
    <w:p w:rsidR="002223EF" w:rsidRDefault="002223EF" w:rsidP="002223EF">
      <w:pPr>
        <w:ind w:firstLine="709"/>
        <w:jc w:val="right"/>
        <w:rPr>
          <w:rFonts w:eastAsia="Calibri"/>
          <w:sz w:val="26"/>
          <w:szCs w:val="26"/>
          <w:lang w:eastAsia="en-US"/>
        </w:rPr>
      </w:pPr>
    </w:p>
    <w:p w:rsidR="002223EF" w:rsidRDefault="002223EF" w:rsidP="002223EF">
      <w:pPr>
        <w:ind w:firstLine="709"/>
        <w:jc w:val="right"/>
        <w:rPr>
          <w:rFonts w:eastAsia="Calibri"/>
          <w:sz w:val="26"/>
          <w:szCs w:val="26"/>
          <w:lang w:eastAsia="en-US"/>
        </w:rPr>
      </w:pPr>
    </w:p>
    <w:p w:rsidR="002223EF" w:rsidRDefault="002223EF" w:rsidP="002223EF">
      <w:pPr>
        <w:ind w:firstLine="709"/>
        <w:jc w:val="right"/>
        <w:rPr>
          <w:rFonts w:eastAsia="Calibri"/>
          <w:sz w:val="26"/>
          <w:szCs w:val="26"/>
          <w:lang w:eastAsia="en-US"/>
        </w:rPr>
      </w:pPr>
    </w:p>
    <w:p w:rsidR="002223EF" w:rsidRDefault="002223EF" w:rsidP="002223EF">
      <w:pPr>
        <w:ind w:firstLine="709"/>
        <w:jc w:val="right"/>
        <w:rPr>
          <w:rFonts w:eastAsia="Calibri"/>
          <w:sz w:val="26"/>
          <w:szCs w:val="26"/>
          <w:lang w:eastAsia="en-US"/>
        </w:rPr>
      </w:pPr>
    </w:p>
    <w:p w:rsidR="002223EF" w:rsidRDefault="002223EF" w:rsidP="002223EF">
      <w:pPr>
        <w:ind w:firstLine="709"/>
        <w:jc w:val="right"/>
        <w:rPr>
          <w:rFonts w:eastAsia="Calibri"/>
          <w:sz w:val="26"/>
          <w:szCs w:val="26"/>
          <w:lang w:eastAsia="en-US"/>
        </w:rPr>
      </w:pPr>
    </w:p>
    <w:p w:rsidR="001F65D3" w:rsidRDefault="001F65D3" w:rsidP="002223EF">
      <w:pPr>
        <w:ind w:left="5103"/>
        <w:jc w:val="center"/>
        <w:rPr>
          <w:sz w:val="26"/>
          <w:szCs w:val="26"/>
          <w:lang w:eastAsia="en-US"/>
        </w:rPr>
      </w:pPr>
    </w:p>
    <w:p w:rsidR="002223EF" w:rsidRPr="0065660A" w:rsidRDefault="002223EF" w:rsidP="002223EF">
      <w:pPr>
        <w:ind w:left="5103"/>
        <w:jc w:val="center"/>
        <w:rPr>
          <w:sz w:val="26"/>
          <w:szCs w:val="26"/>
          <w:lang w:eastAsia="en-US"/>
        </w:rPr>
      </w:pPr>
      <w:r w:rsidRPr="0065660A">
        <w:rPr>
          <w:sz w:val="26"/>
          <w:szCs w:val="26"/>
          <w:lang w:eastAsia="en-US"/>
        </w:rPr>
        <w:t>Утвержден</w:t>
      </w:r>
      <w:r>
        <w:rPr>
          <w:sz w:val="26"/>
          <w:szCs w:val="26"/>
          <w:lang w:eastAsia="en-US"/>
        </w:rPr>
        <w:t>а</w:t>
      </w:r>
    </w:p>
    <w:p w:rsidR="002223EF" w:rsidRPr="0065660A" w:rsidRDefault="002223EF" w:rsidP="002223EF">
      <w:pPr>
        <w:ind w:left="4820"/>
        <w:jc w:val="center"/>
        <w:rPr>
          <w:sz w:val="26"/>
          <w:szCs w:val="26"/>
          <w:lang w:eastAsia="en-US"/>
        </w:rPr>
      </w:pPr>
      <w:r w:rsidRPr="0065660A">
        <w:rPr>
          <w:sz w:val="26"/>
          <w:szCs w:val="26"/>
          <w:lang w:eastAsia="en-US"/>
        </w:rPr>
        <w:t xml:space="preserve">приказом Мининформполитики </w:t>
      </w:r>
      <w:r>
        <w:rPr>
          <w:sz w:val="26"/>
          <w:szCs w:val="26"/>
          <w:lang w:eastAsia="en-US"/>
        </w:rPr>
        <w:t>Ч</w:t>
      </w:r>
      <w:r w:rsidRPr="0065660A">
        <w:rPr>
          <w:sz w:val="26"/>
          <w:szCs w:val="26"/>
          <w:lang w:eastAsia="en-US"/>
        </w:rPr>
        <w:t>увашии от _____________  № ______</w:t>
      </w:r>
    </w:p>
    <w:p w:rsidR="002223EF" w:rsidRPr="0065660A" w:rsidRDefault="002223EF" w:rsidP="002223EF">
      <w:pPr>
        <w:ind w:left="5103"/>
        <w:jc w:val="center"/>
        <w:rPr>
          <w:sz w:val="26"/>
          <w:szCs w:val="26"/>
          <w:lang w:eastAsia="en-US"/>
        </w:rPr>
      </w:pPr>
      <w:r w:rsidRPr="0065660A">
        <w:rPr>
          <w:sz w:val="26"/>
          <w:szCs w:val="26"/>
          <w:lang w:eastAsia="en-US"/>
        </w:rPr>
        <w:t xml:space="preserve">(Приложение № </w:t>
      </w:r>
      <w:r w:rsidR="001F65D3">
        <w:rPr>
          <w:sz w:val="26"/>
          <w:szCs w:val="26"/>
          <w:lang w:eastAsia="en-US"/>
        </w:rPr>
        <w:t>2</w:t>
      </w:r>
      <w:r w:rsidRPr="0065660A">
        <w:rPr>
          <w:sz w:val="26"/>
          <w:szCs w:val="26"/>
          <w:lang w:eastAsia="en-US"/>
        </w:rPr>
        <w:t>)</w:t>
      </w:r>
    </w:p>
    <w:p w:rsidR="002223EF" w:rsidRPr="0065660A" w:rsidRDefault="002223EF" w:rsidP="002223EF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2223EF" w:rsidRPr="0065660A" w:rsidRDefault="002223EF" w:rsidP="002223EF">
      <w:pPr>
        <w:ind w:firstLine="709"/>
        <w:jc w:val="center"/>
        <w:rPr>
          <w:rFonts w:eastAsia="Calibri"/>
          <w:bCs/>
          <w:sz w:val="26"/>
          <w:szCs w:val="26"/>
          <w:lang w:eastAsia="en-US"/>
        </w:rPr>
      </w:pPr>
      <w:bookmarkStart w:id="0" w:name="Par45"/>
      <w:bookmarkEnd w:id="0"/>
      <w:r w:rsidRPr="0065660A">
        <w:rPr>
          <w:rFonts w:eastAsia="Calibri"/>
          <w:bCs/>
          <w:sz w:val="26"/>
          <w:szCs w:val="26"/>
          <w:lang w:eastAsia="en-US"/>
        </w:rPr>
        <w:t>М</w:t>
      </w:r>
      <w:r>
        <w:rPr>
          <w:rFonts w:eastAsia="Calibri"/>
          <w:bCs/>
          <w:sz w:val="26"/>
          <w:szCs w:val="26"/>
          <w:lang w:eastAsia="en-US"/>
        </w:rPr>
        <w:t xml:space="preserve">етодика расчета ключевых показателей эффективности  </w:t>
      </w:r>
    </w:p>
    <w:p w:rsidR="002223EF" w:rsidRDefault="002223EF" w:rsidP="002223EF">
      <w:pPr>
        <w:ind w:firstLine="709"/>
        <w:jc w:val="center"/>
        <w:rPr>
          <w:rFonts w:eastAsia="Calibri"/>
          <w:sz w:val="26"/>
          <w:szCs w:val="26"/>
          <w:lang w:eastAsia="en-US"/>
        </w:rPr>
      </w:pPr>
      <w:r w:rsidRPr="0065660A">
        <w:rPr>
          <w:rFonts w:eastAsia="Calibri"/>
          <w:sz w:val="26"/>
          <w:szCs w:val="26"/>
          <w:lang w:eastAsia="en-US"/>
        </w:rPr>
        <w:t>функционирования в Министерстве цифрового развития, информационной политики и массовых коммуникаций Чувашской Республики антимонопольного комплаенса</w:t>
      </w:r>
    </w:p>
    <w:p w:rsidR="002223EF" w:rsidRPr="0065660A" w:rsidRDefault="002223EF" w:rsidP="002223EF">
      <w:pPr>
        <w:ind w:firstLine="709"/>
        <w:jc w:val="center"/>
        <w:rPr>
          <w:rFonts w:eastAsia="Calibri"/>
          <w:sz w:val="26"/>
          <w:szCs w:val="26"/>
          <w:lang w:eastAsia="en-US"/>
        </w:rPr>
      </w:pPr>
    </w:p>
    <w:p w:rsidR="002223EF" w:rsidRPr="0065660A" w:rsidRDefault="002223EF" w:rsidP="002223EF">
      <w:pPr>
        <w:ind w:firstLine="709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65660A">
        <w:rPr>
          <w:rFonts w:eastAsia="Calibri"/>
          <w:b/>
          <w:bCs/>
          <w:sz w:val="26"/>
          <w:szCs w:val="26"/>
          <w:lang w:eastAsia="en-US"/>
        </w:rPr>
        <w:t>I. Общие положения</w:t>
      </w:r>
    </w:p>
    <w:p w:rsidR="002223EF" w:rsidRPr="0065660A" w:rsidRDefault="002223EF" w:rsidP="002223EF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2223EF" w:rsidRPr="0065660A" w:rsidRDefault="002223EF" w:rsidP="002223E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5660A">
        <w:rPr>
          <w:rFonts w:eastAsia="Calibri"/>
          <w:sz w:val="26"/>
          <w:szCs w:val="26"/>
          <w:lang w:eastAsia="en-US"/>
        </w:rPr>
        <w:t>1. Методика расчета ключевых показателей эффективности функционирования в Министерстве цифрового развития, информационной политики и массовых коммуникаций Чувашской Республики антимонопольного комплаенса (далее - Методика) разработана Министерств</w:t>
      </w:r>
      <w:r>
        <w:rPr>
          <w:rFonts w:eastAsia="Calibri"/>
          <w:sz w:val="26"/>
          <w:szCs w:val="26"/>
          <w:lang w:eastAsia="en-US"/>
        </w:rPr>
        <w:t>ом</w:t>
      </w:r>
      <w:r w:rsidRPr="0065660A">
        <w:rPr>
          <w:rFonts w:eastAsia="Calibri"/>
          <w:sz w:val="26"/>
          <w:szCs w:val="26"/>
          <w:lang w:eastAsia="en-US"/>
        </w:rPr>
        <w:t xml:space="preserve"> цифрового развития, информационной политики и массовых коммуникаций Чувашской Республики (далее -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65660A">
        <w:rPr>
          <w:rFonts w:eastAsia="Calibri"/>
          <w:sz w:val="26"/>
          <w:szCs w:val="26"/>
          <w:lang w:eastAsia="en-US"/>
        </w:rPr>
        <w:t>Министерств</w:t>
      </w:r>
      <w:r>
        <w:rPr>
          <w:rFonts w:eastAsia="Calibri"/>
          <w:sz w:val="26"/>
          <w:szCs w:val="26"/>
          <w:lang w:eastAsia="en-US"/>
        </w:rPr>
        <w:t>о</w:t>
      </w:r>
      <w:r w:rsidRPr="0065660A">
        <w:rPr>
          <w:rFonts w:eastAsia="Calibri"/>
          <w:sz w:val="26"/>
          <w:szCs w:val="26"/>
          <w:lang w:eastAsia="en-US"/>
        </w:rPr>
        <w:t xml:space="preserve">) в соответствии с </w:t>
      </w:r>
      <w:hyperlink r:id="rId5" w:history="1">
        <w:r w:rsidRPr="0065660A">
          <w:rPr>
            <w:rFonts w:eastAsia="Calibri"/>
            <w:sz w:val="26"/>
            <w:szCs w:val="26"/>
            <w:lang w:eastAsia="en-US"/>
          </w:rPr>
          <w:t>распоряжением</w:t>
        </w:r>
      </w:hyperlink>
      <w:r w:rsidRPr="0065660A">
        <w:rPr>
          <w:rFonts w:eastAsia="Calibri"/>
          <w:sz w:val="26"/>
          <w:szCs w:val="26"/>
          <w:lang w:eastAsia="en-US"/>
        </w:rPr>
        <w:t xml:space="preserve"> Правительства Российской Федерации от 18 октября 2018 г.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 (далее - Методические рекомендации).</w:t>
      </w:r>
    </w:p>
    <w:p w:rsidR="002223EF" w:rsidRPr="0065660A" w:rsidRDefault="002223EF" w:rsidP="002223E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5660A">
        <w:rPr>
          <w:rFonts w:eastAsia="Calibri"/>
          <w:sz w:val="26"/>
          <w:szCs w:val="26"/>
          <w:lang w:eastAsia="en-US"/>
        </w:rPr>
        <w:t>2. В целях оценки эффективности функционирования в Министерств</w:t>
      </w:r>
      <w:r>
        <w:rPr>
          <w:rFonts w:eastAsia="Calibri"/>
          <w:sz w:val="26"/>
          <w:szCs w:val="26"/>
          <w:lang w:eastAsia="en-US"/>
        </w:rPr>
        <w:t xml:space="preserve">е </w:t>
      </w:r>
      <w:r w:rsidRPr="0065660A">
        <w:rPr>
          <w:rFonts w:eastAsia="Calibri"/>
          <w:sz w:val="26"/>
          <w:szCs w:val="26"/>
          <w:lang w:eastAsia="en-US"/>
        </w:rPr>
        <w:t xml:space="preserve">антимонопольного комплаенса в соответствии с Методикой рассчитываются ключевые показатели эффективности </w:t>
      </w:r>
      <w:r w:rsidR="00D0333E" w:rsidRPr="0065660A">
        <w:rPr>
          <w:rFonts w:eastAsia="Calibri"/>
          <w:sz w:val="26"/>
          <w:szCs w:val="26"/>
          <w:lang w:eastAsia="en-US"/>
        </w:rPr>
        <w:t xml:space="preserve">функционирования </w:t>
      </w:r>
      <w:r w:rsidRPr="0065660A">
        <w:rPr>
          <w:rFonts w:eastAsia="Calibri"/>
          <w:sz w:val="26"/>
          <w:szCs w:val="26"/>
          <w:lang w:eastAsia="en-US"/>
        </w:rPr>
        <w:t xml:space="preserve">антимонопольного комплаенса </w:t>
      </w:r>
      <w:r w:rsidR="00EA0727">
        <w:rPr>
          <w:rFonts w:eastAsia="Calibri"/>
          <w:sz w:val="26"/>
          <w:szCs w:val="26"/>
          <w:lang w:eastAsia="en-US"/>
        </w:rPr>
        <w:t xml:space="preserve">(далее - </w:t>
      </w:r>
      <w:r w:rsidR="00EA0727" w:rsidRPr="0065660A">
        <w:rPr>
          <w:rFonts w:eastAsia="Calibri"/>
          <w:sz w:val="26"/>
          <w:szCs w:val="26"/>
          <w:lang w:eastAsia="en-US"/>
        </w:rPr>
        <w:t>ключевые показатели эффективности</w:t>
      </w:r>
      <w:r w:rsidR="00EA0727">
        <w:rPr>
          <w:rFonts w:eastAsia="Calibri"/>
          <w:sz w:val="26"/>
          <w:szCs w:val="26"/>
          <w:lang w:eastAsia="en-US"/>
        </w:rPr>
        <w:t>)</w:t>
      </w:r>
      <w:r w:rsidR="00EA0727" w:rsidRPr="0065660A">
        <w:rPr>
          <w:rFonts w:eastAsia="Calibri"/>
          <w:sz w:val="26"/>
          <w:szCs w:val="26"/>
          <w:lang w:eastAsia="en-US"/>
        </w:rPr>
        <w:t xml:space="preserve"> </w:t>
      </w:r>
      <w:r w:rsidRPr="0065660A">
        <w:rPr>
          <w:rFonts w:eastAsia="Calibri"/>
          <w:sz w:val="26"/>
          <w:szCs w:val="26"/>
          <w:lang w:eastAsia="en-US"/>
        </w:rPr>
        <w:t xml:space="preserve">для </w:t>
      </w:r>
      <w:r w:rsidR="007D6D1A">
        <w:rPr>
          <w:rFonts w:eastAsia="Calibri"/>
          <w:sz w:val="26"/>
          <w:szCs w:val="26"/>
          <w:lang w:eastAsia="en-US"/>
        </w:rPr>
        <w:t xml:space="preserve">структурных подразделений Министерства и </w:t>
      </w:r>
      <w:r w:rsidRPr="0065660A">
        <w:rPr>
          <w:rFonts w:eastAsia="Calibri"/>
          <w:sz w:val="26"/>
          <w:szCs w:val="26"/>
          <w:lang w:eastAsia="en-US"/>
        </w:rPr>
        <w:t>Министерств</w:t>
      </w:r>
      <w:r>
        <w:rPr>
          <w:rFonts w:eastAsia="Calibri"/>
          <w:sz w:val="26"/>
          <w:szCs w:val="26"/>
          <w:lang w:eastAsia="en-US"/>
        </w:rPr>
        <w:t>а</w:t>
      </w:r>
      <w:r w:rsidRPr="0065660A">
        <w:rPr>
          <w:rFonts w:eastAsia="Calibri"/>
          <w:sz w:val="26"/>
          <w:szCs w:val="26"/>
          <w:lang w:eastAsia="en-US"/>
        </w:rPr>
        <w:t xml:space="preserve"> в целом.</w:t>
      </w:r>
    </w:p>
    <w:p w:rsidR="002223EF" w:rsidRPr="0065660A" w:rsidRDefault="002223EF" w:rsidP="002223EF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2223EF" w:rsidRPr="0065660A" w:rsidRDefault="002223EF" w:rsidP="002223EF">
      <w:pPr>
        <w:ind w:firstLine="709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65660A">
        <w:rPr>
          <w:rFonts w:eastAsia="Calibri"/>
          <w:b/>
          <w:bCs/>
          <w:sz w:val="26"/>
          <w:szCs w:val="26"/>
          <w:lang w:eastAsia="en-US"/>
        </w:rPr>
        <w:t>II. Методика расчета ключевых показателей эффективности</w:t>
      </w:r>
    </w:p>
    <w:p w:rsidR="002223EF" w:rsidRPr="0065660A" w:rsidRDefault="002223EF" w:rsidP="002223EF">
      <w:pPr>
        <w:ind w:firstLine="709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65660A">
        <w:rPr>
          <w:rFonts w:eastAsia="Calibri"/>
          <w:b/>
          <w:bCs/>
          <w:sz w:val="26"/>
          <w:szCs w:val="26"/>
          <w:lang w:eastAsia="en-US"/>
        </w:rPr>
        <w:t xml:space="preserve">для </w:t>
      </w:r>
      <w:r w:rsidRPr="00EE69B7">
        <w:rPr>
          <w:rFonts w:eastAsia="Calibri"/>
          <w:b/>
          <w:sz w:val="26"/>
          <w:szCs w:val="26"/>
          <w:lang w:eastAsia="en-US"/>
        </w:rPr>
        <w:t>Министерства</w:t>
      </w:r>
      <w:r w:rsidRPr="00EE69B7"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Pr="0065660A">
        <w:rPr>
          <w:rFonts w:eastAsia="Calibri"/>
          <w:b/>
          <w:bCs/>
          <w:sz w:val="26"/>
          <w:szCs w:val="26"/>
          <w:lang w:eastAsia="en-US"/>
        </w:rPr>
        <w:t>в целом</w:t>
      </w:r>
    </w:p>
    <w:p w:rsidR="002223EF" w:rsidRPr="0065660A" w:rsidRDefault="002223EF" w:rsidP="002223EF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2223EF" w:rsidRPr="0065660A" w:rsidRDefault="002223EF" w:rsidP="002223E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5660A">
        <w:rPr>
          <w:rFonts w:eastAsia="Calibri"/>
          <w:sz w:val="26"/>
          <w:szCs w:val="26"/>
          <w:lang w:eastAsia="en-US"/>
        </w:rPr>
        <w:t>3. Коэффициент снижения количества нарушений антимонопольного законодательства со стороны Министерств</w:t>
      </w:r>
      <w:r>
        <w:rPr>
          <w:rFonts w:eastAsia="Calibri"/>
          <w:sz w:val="26"/>
          <w:szCs w:val="26"/>
          <w:lang w:eastAsia="en-US"/>
        </w:rPr>
        <w:t>а</w:t>
      </w:r>
      <w:r w:rsidRPr="0065660A">
        <w:rPr>
          <w:rFonts w:eastAsia="Calibri"/>
          <w:sz w:val="26"/>
          <w:szCs w:val="26"/>
          <w:lang w:eastAsia="en-US"/>
        </w:rPr>
        <w:t xml:space="preserve"> (по сравнению с предыдущим годом) рассчитывается по формуле:</w:t>
      </w:r>
    </w:p>
    <w:p w:rsidR="002223EF" w:rsidRPr="0065660A" w:rsidRDefault="002223EF" w:rsidP="002223EF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2223EF" w:rsidRPr="0065660A" w:rsidRDefault="002223EF" w:rsidP="002223E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noProof/>
          <w:position w:val="-24"/>
          <w:sz w:val="26"/>
          <w:szCs w:val="26"/>
        </w:rPr>
        <w:drawing>
          <wp:inline distT="0" distB="0" distL="0" distR="0">
            <wp:extent cx="1381125" cy="4667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3EF" w:rsidRPr="0065660A" w:rsidRDefault="002223EF" w:rsidP="002223EF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2223EF" w:rsidRPr="0065660A" w:rsidRDefault="002223EF" w:rsidP="002223E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5660A">
        <w:rPr>
          <w:rFonts w:eastAsia="Calibri"/>
          <w:sz w:val="26"/>
          <w:szCs w:val="26"/>
          <w:lang w:eastAsia="en-US"/>
        </w:rPr>
        <w:t>КСН - коэффициент снижения количества нарушений антимонопольного законодательства со стороны Министерств</w:t>
      </w:r>
      <w:r>
        <w:rPr>
          <w:rFonts w:eastAsia="Calibri"/>
          <w:sz w:val="26"/>
          <w:szCs w:val="26"/>
          <w:lang w:eastAsia="en-US"/>
        </w:rPr>
        <w:t>а</w:t>
      </w:r>
      <w:r w:rsidRPr="0065660A">
        <w:rPr>
          <w:rFonts w:eastAsia="Calibri"/>
          <w:sz w:val="26"/>
          <w:szCs w:val="26"/>
          <w:lang w:eastAsia="en-US"/>
        </w:rPr>
        <w:t xml:space="preserve"> по сравнению с предыдущим годом;</w:t>
      </w:r>
    </w:p>
    <w:p w:rsidR="002223EF" w:rsidRPr="0065660A" w:rsidRDefault="002223EF" w:rsidP="002223E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5660A">
        <w:rPr>
          <w:rFonts w:eastAsia="Calibri"/>
          <w:sz w:val="26"/>
          <w:szCs w:val="26"/>
          <w:lang w:eastAsia="en-US"/>
        </w:rPr>
        <w:t>КНпг - количество нарушений антимонопольного законодательства со стороны Министерств</w:t>
      </w:r>
      <w:r>
        <w:rPr>
          <w:rFonts w:eastAsia="Calibri"/>
          <w:sz w:val="26"/>
          <w:szCs w:val="26"/>
          <w:lang w:eastAsia="en-US"/>
        </w:rPr>
        <w:t xml:space="preserve">а </w:t>
      </w:r>
      <w:r w:rsidRPr="0065660A">
        <w:rPr>
          <w:rFonts w:eastAsia="Calibri"/>
          <w:sz w:val="26"/>
          <w:szCs w:val="26"/>
          <w:lang w:eastAsia="en-US"/>
        </w:rPr>
        <w:t>в предыдущем году;</w:t>
      </w:r>
    </w:p>
    <w:p w:rsidR="002223EF" w:rsidRPr="0065660A" w:rsidRDefault="002223EF" w:rsidP="002223E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5660A">
        <w:rPr>
          <w:rFonts w:eastAsia="Calibri"/>
          <w:sz w:val="26"/>
          <w:szCs w:val="26"/>
          <w:lang w:eastAsia="en-US"/>
        </w:rPr>
        <w:t>КНоп - количество нарушений антимонопольного законодательства со стороны Министерств</w:t>
      </w:r>
      <w:r>
        <w:rPr>
          <w:rFonts w:eastAsia="Calibri"/>
          <w:sz w:val="26"/>
          <w:szCs w:val="26"/>
          <w:lang w:eastAsia="en-US"/>
        </w:rPr>
        <w:t>а</w:t>
      </w:r>
      <w:r w:rsidRPr="0065660A">
        <w:rPr>
          <w:rFonts w:eastAsia="Calibri"/>
          <w:sz w:val="26"/>
          <w:szCs w:val="26"/>
          <w:lang w:eastAsia="en-US"/>
        </w:rPr>
        <w:t xml:space="preserve"> в отчетном периоде.</w:t>
      </w:r>
    </w:p>
    <w:p w:rsidR="002223EF" w:rsidRPr="0065660A" w:rsidRDefault="002223EF" w:rsidP="002223E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5660A">
        <w:rPr>
          <w:rFonts w:eastAsia="Calibri"/>
          <w:sz w:val="26"/>
          <w:szCs w:val="26"/>
          <w:lang w:eastAsia="en-US"/>
        </w:rPr>
        <w:t>При расчете коэффициента снижения количества нарушений антимонопольного законодательства со стороны Министерств</w:t>
      </w:r>
      <w:r>
        <w:rPr>
          <w:rFonts w:eastAsia="Calibri"/>
          <w:sz w:val="26"/>
          <w:szCs w:val="26"/>
          <w:lang w:eastAsia="en-US"/>
        </w:rPr>
        <w:t>а</w:t>
      </w:r>
      <w:r w:rsidRPr="0065660A">
        <w:rPr>
          <w:rFonts w:eastAsia="Calibri"/>
          <w:sz w:val="26"/>
          <w:szCs w:val="26"/>
          <w:lang w:eastAsia="en-US"/>
        </w:rPr>
        <w:t xml:space="preserve"> под нарушением антимонопольного законодательства со стороны Министерств</w:t>
      </w:r>
      <w:r>
        <w:rPr>
          <w:rFonts w:eastAsia="Calibri"/>
          <w:sz w:val="26"/>
          <w:szCs w:val="26"/>
          <w:lang w:eastAsia="en-US"/>
        </w:rPr>
        <w:t>а</w:t>
      </w:r>
      <w:r w:rsidRPr="0065660A">
        <w:rPr>
          <w:rFonts w:eastAsia="Calibri"/>
          <w:sz w:val="26"/>
          <w:szCs w:val="26"/>
          <w:lang w:eastAsia="en-US"/>
        </w:rPr>
        <w:t xml:space="preserve"> понимаются:</w:t>
      </w:r>
    </w:p>
    <w:p w:rsidR="002223EF" w:rsidRPr="0065660A" w:rsidRDefault="002223EF" w:rsidP="002223E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5660A">
        <w:rPr>
          <w:rFonts w:eastAsia="Calibri"/>
          <w:sz w:val="26"/>
          <w:szCs w:val="26"/>
          <w:lang w:eastAsia="en-US"/>
        </w:rPr>
        <w:t>- возбужденные антимонопольным органом в отношении Министерств</w:t>
      </w:r>
      <w:r>
        <w:rPr>
          <w:rFonts w:eastAsia="Calibri"/>
          <w:sz w:val="26"/>
          <w:szCs w:val="26"/>
          <w:lang w:eastAsia="en-US"/>
        </w:rPr>
        <w:t xml:space="preserve">а </w:t>
      </w:r>
      <w:r w:rsidRPr="0065660A">
        <w:rPr>
          <w:rFonts w:eastAsia="Calibri"/>
          <w:sz w:val="26"/>
          <w:szCs w:val="26"/>
          <w:lang w:eastAsia="en-US"/>
        </w:rPr>
        <w:t>дела</w:t>
      </w:r>
      <w:r w:rsidR="007D6D1A">
        <w:rPr>
          <w:rFonts w:eastAsia="Calibri"/>
          <w:sz w:val="26"/>
          <w:szCs w:val="26"/>
          <w:lang w:eastAsia="en-US"/>
        </w:rPr>
        <w:t xml:space="preserve"> о нарушении антимонопольного законодательства</w:t>
      </w:r>
      <w:r w:rsidRPr="0065660A">
        <w:rPr>
          <w:rFonts w:eastAsia="Calibri"/>
          <w:sz w:val="26"/>
          <w:szCs w:val="26"/>
          <w:lang w:eastAsia="en-US"/>
        </w:rPr>
        <w:t>;</w:t>
      </w:r>
    </w:p>
    <w:p w:rsidR="002223EF" w:rsidRPr="0065660A" w:rsidRDefault="002223EF" w:rsidP="002223E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5660A">
        <w:rPr>
          <w:rFonts w:eastAsia="Calibri"/>
          <w:sz w:val="26"/>
          <w:szCs w:val="26"/>
          <w:lang w:eastAsia="en-US"/>
        </w:rPr>
        <w:t>- выданные антимонопольным органом Министерств</w:t>
      </w:r>
      <w:r>
        <w:rPr>
          <w:rFonts w:eastAsia="Calibri"/>
          <w:sz w:val="26"/>
          <w:szCs w:val="26"/>
          <w:lang w:eastAsia="en-US"/>
        </w:rPr>
        <w:t xml:space="preserve">у </w:t>
      </w:r>
      <w:r w:rsidRPr="0065660A">
        <w:rPr>
          <w:rFonts w:eastAsia="Calibri"/>
          <w:sz w:val="26"/>
          <w:szCs w:val="26"/>
          <w:lang w:eastAsia="en-US"/>
        </w:rPr>
        <w:t>предупреждения о прекращении действий (бездействия), об отмене или изменении актов, которые содержат признаки нарушения антимонопольного законодательства, либо об устранении причин и условий, способствовавших возникновению такого нарушения, и о принятии мер по устранению последствий такого нарушения;</w:t>
      </w:r>
    </w:p>
    <w:p w:rsidR="002223EF" w:rsidRPr="0065660A" w:rsidRDefault="002223EF" w:rsidP="002223E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5660A">
        <w:rPr>
          <w:rFonts w:eastAsia="Calibri"/>
          <w:sz w:val="26"/>
          <w:szCs w:val="26"/>
          <w:lang w:eastAsia="en-US"/>
        </w:rPr>
        <w:t>- направленные антимонопольным органом Министерств</w:t>
      </w:r>
      <w:r>
        <w:rPr>
          <w:rFonts w:eastAsia="Calibri"/>
          <w:sz w:val="26"/>
          <w:szCs w:val="26"/>
          <w:lang w:eastAsia="en-US"/>
        </w:rPr>
        <w:t>у</w:t>
      </w:r>
      <w:r w:rsidRPr="0065660A">
        <w:rPr>
          <w:rFonts w:eastAsia="Calibri"/>
          <w:sz w:val="26"/>
          <w:szCs w:val="26"/>
          <w:lang w:eastAsia="en-US"/>
        </w:rPr>
        <w:t xml:space="preserve"> предостережения о недопустимости совершения действий, которые могут привести к нарушению антимонопольного законодательства.</w:t>
      </w:r>
    </w:p>
    <w:p w:rsidR="002223EF" w:rsidRPr="0065660A" w:rsidRDefault="002223EF" w:rsidP="002223E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5660A">
        <w:rPr>
          <w:rFonts w:eastAsia="Calibri"/>
          <w:sz w:val="26"/>
          <w:szCs w:val="26"/>
          <w:lang w:eastAsia="en-US"/>
        </w:rPr>
        <w:t>4. Доля проектов нормативных правовых актов Чувашской Республики, разработанных Министерств</w:t>
      </w:r>
      <w:r>
        <w:rPr>
          <w:rFonts w:eastAsia="Calibri"/>
          <w:sz w:val="26"/>
          <w:szCs w:val="26"/>
          <w:lang w:eastAsia="en-US"/>
        </w:rPr>
        <w:t>ом</w:t>
      </w:r>
      <w:r w:rsidRPr="0065660A">
        <w:rPr>
          <w:rFonts w:eastAsia="Calibri"/>
          <w:sz w:val="26"/>
          <w:szCs w:val="26"/>
          <w:lang w:eastAsia="en-US"/>
        </w:rPr>
        <w:t xml:space="preserve"> по курируемым направлениям деятельности, и проектов ведомственных нормативных правовых актов Министерств</w:t>
      </w:r>
      <w:r>
        <w:rPr>
          <w:rFonts w:eastAsia="Calibri"/>
          <w:sz w:val="26"/>
          <w:szCs w:val="26"/>
          <w:lang w:eastAsia="en-US"/>
        </w:rPr>
        <w:t>а</w:t>
      </w:r>
      <w:r w:rsidRPr="0065660A">
        <w:rPr>
          <w:rFonts w:eastAsia="Calibri"/>
          <w:sz w:val="26"/>
          <w:szCs w:val="26"/>
          <w:lang w:eastAsia="en-US"/>
        </w:rPr>
        <w:t xml:space="preserve"> (далее - проект правового акта), в которых выявлены риски нарушения антимонопольного законодательства, рассчитывается по формуле:</w:t>
      </w:r>
    </w:p>
    <w:p w:rsidR="002223EF" w:rsidRPr="0065660A" w:rsidRDefault="002223EF" w:rsidP="002223EF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2223EF" w:rsidRPr="0065660A" w:rsidRDefault="007D6D1A" w:rsidP="002223E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noProof/>
          <w:sz w:val="26"/>
          <w:szCs w:val="26"/>
        </w:rPr>
        <mc:AlternateContent>
          <mc:Choice Requires="wpc">
            <w:drawing>
              <wp:inline distT="0" distB="0" distL="0" distR="0">
                <wp:extent cx="1562100" cy="473075"/>
                <wp:effectExtent l="0" t="0" r="0" b="3175"/>
                <wp:docPr id="9" name="Полотно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" name="Line 5"/>
                        <wps:cNvCnPr/>
                        <wps:spPr bwMode="auto">
                          <a:xfrm>
                            <a:off x="652145" y="240665"/>
                            <a:ext cx="520065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63575" y="9525"/>
                            <a:ext cx="3879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6D1A" w:rsidRDefault="007D6D1A">
                              <w:r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Кппа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7305" y="125095"/>
                            <a:ext cx="148907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6D1A" w:rsidRDefault="007D6D1A">
                              <w:r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Дппа=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 xml:space="preserve">               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, где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63576" y="240665"/>
                            <a:ext cx="46101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6D1A" w:rsidRDefault="007D6D1A">
                              <w:r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КНоп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9" o:spid="_x0000_s1026" editas="canvas" style="width:123pt;height:37.25pt;mso-position-horizontal-relative:char;mso-position-vertical-relative:line" coordsize="15621,4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5621;height:4730;visibility:visible;mso-wrap-style:square">
                  <v:fill o:detectmouseclick="t"/>
                  <v:path o:connecttype="none"/>
                </v:shape>
                <v:line id="Line 5" o:spid="_x0000_s1028" style="position:absolute;visibility:visible;mso-wrap-style:square" from="6521,2406" to="11722,2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zDasQAAADaAAAADwAAAGRycy9kb3ducmV2LnhtbESP0WrCQBRE3wv+w3KFvhSzsdAaoqtY&#10;QUhfWqP5gEv2mgR376bZVdO/7xYKfRxm5gyz2ozWiBsNvnOsYJ6kIIhrpztuFFSn/SwD4QOyRuOY&#10;FHyTh8168rDCXLs7l3Q7hkZECPscFbQh9LmUvm7Jok9cTxy9sxsshiiHRuoB7xFujXxO01dpseO4&#10;0GJPu5bqy/FqFTxlZfVZ1G/2nH2c3r8Oplg4Uyj1OB23SxCBxvAf/msXWsEL/F6JN0Cu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jMNqxAAAANoAAAAPAAAAAAAAAAAA&#10;AAAAAKECAABkcnMvZG93bnJldi54bWxQSwUGAAAAAAQABAD5AAAAkgMAAAAA&#10;" strokeweight=".7pt"/>
                <v:rect id="Rectangle 6" o:spid="_x0000_s1029" style="position:absolute;left:6635;top:95;width:3880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<v:textbox style="mso-fit-shape-to-text:t" inset="0,0,0,0">
                    <w:txbxContent>
                      <w:p w:rsidR="007D6D1A" w:rsidRDefault="007D6D1A">
                        <w:r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Кппа</w:t>
                        </w:r>
                      </w:p>
                    </w:txbxContent>
                  </v:textbox>
                </v:rect>
                <v:rect id="Rectangle 7" o:spid="_x0000_s1030" style="position:absolute;left:273;top:1250;width:14890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<v:textbox style="mso-fit-shape-to-text:t" inset="0,0,0,0">
                    <w:txbxContent>
                      <w:p w:rsidR="007D6D1A" w:rsidRDefault="007D6D1A">
                        <w:r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Дппа=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               </w:t>
                        </w:r>
                        <w:r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, где</w:t>
                        </w:r>
                      </w:p>
                    </w:txbxContent>
                  </v:textbox>
                </v:rect>
                <v:rect id="Rectangle 8" o:spid="_x0000_s1031" style="position:absolute;left:6635;top:2406;width:4610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2A38AA&#10;AADaAAAADwAAAGRycy9kb3ducmV2LnhtbERPTYvCMBC9L/gfwgheFk31IFobRQRhD8Ji9aC3oRmb&#10;ajMpTdZ299dvDoLHx/vONr2txZNaXzlWMJ0kIIgLpysuFZxP+/EChA/IGmvHpOCXPGzWg48MU+06&#10;PtIzD6WIIexTVGBCaFIpfWHIop+4hjhyN9daDBG2pdQtdjHc1nKWJHNpseLYYLChnaHikf9YBfvv&#10;S0X8J4+fy0Xn7sXsmptDo9Ro2G9XIAL14S1+ub+0grg1Xok3QK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Z2A38AAAADaAAAADwAAAAAAAAAAAAAAAACYAgAAZHJzL2Rvd25y&#10;ZXYueG1sUEsFBgAAAAAEAAQA9QAAAIUDAAAAAA==&#10;" filled="f" stroked="f">
                  <v:textbox style="mso-fit-shape-to-text:t" inset="0,0,0,0">
                    <w:txbxContent>
                      <w:p w:rsidR="007D6D1A" w:rsidRDefault="007D6D1A">
                        <w:r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КНоп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2223EF" w:rsidRPr="0065660A" w:rsidRDefault="002223EF" w:rsidP="002223EF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2223EF" w:rsidRPr="0065660A" w:rsidRDefault="002223EF" w:rsidP="002223E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5660A">
        <w:rPr>
          <w:rFonts w:eastAsia="Calibri"/>
          <w:sz w:val="26"/>
          <w:szCs w:val="26"/>
          <w:lang w:eastAsia="en-US"/>
        </w:rPr>
        <w:t>Дппа - доля проектов правовых актов, в которых выявлены риски нарушения антимонопольного законодательства;</w:t>
      </w:r>
    </w:p>
    <w:p w:rsidR="002223EF" w:rsidRPr="0065660A" w:rsidRDefault="002223EF" w:rsidP="002223E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5660A">
        <w:rPr>
          <w:rFonts w:eastAsia="Calibri"/>
          <w:sz w:val="26"/>
          <w:szCs w:val="26"/>
          <w:lang w:eastAsia="en-US"/>
        </w:rPr>
        <w:t>Кппа - количество проектов правовых актов, в которых Министерств</w:t>
      </w:r>
      <w:r>
        <w:rPr>
          <w:rFonts w:eastAsia="Calibri"/>
          <w:sz w:val="26"/>
          <w:szCs w:val="26"/>
          <w:lang w:eastAsia="en-US"/>
        </w:rPr>
        <w:t>ом</w:t>
      </w:r>
      <w:r w:rsidRPr="0065660A">
        <w:rPr>
          <w:rFonts w:eastAsia="Calibri"/>
          <w:sz w:val="26"/>
          <w:szCs w:val="26"/>
          <w:lang w:eastAsia="en-US"/>
        </w:rPr>
        <w:t xml:space="preserve"> выявлены риски нарушения антимонопольного законодательства (в отчетном периоде);</w:t>
      </w:r>
    </w:p>
    <w:p w:rsidR="002223EF" w:rsidRPr="0065660A" w:rsidRDefault="002223EF" w:rsidP="002223E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5660A">
        <w:rPr>
          <w:rFonts w:eastAsia="Calibri"/>
          <w:sz w:val="26"/>
          <w:szCs w:val="26"/>
          <w:lang w:eastAsia="en-US"/>
        </w:rPr>
        <w:t>КНоп - количество проектов правовых актов, в которых антимонопольным органом выявлены нарушения антимонопольного законодательства (в отчетном периоде).</w:t>
      </w:r>
    </w:p>
    <w:p w:rsidR="002223EF" w:rsidRPr="0065660A" w:rsidRDefault="002223EF" w:rsidP="002223E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5660A">
        <w:rPr>
          <w:rFonts w:eastAsia="Calibri"/>
          <w:sz w:val="26"/>
          <w:szCs w:val="26"/>
          <w:lang w:eastAsia="en-US"/>
        </w:rPr>
        <w:t>5. Доля нормативных правовых актов Чувашской Республики, разработанных Министерств</w:t>
      </w:r>
      <w:r>
        <w:rPr>
          <w:rFonts w:eastAsia="Calibri"/>
          <w:sz w:val="26"/>
          <w:szCs w:val="26"/>
          <w:lang w:eastAsia="en-US"/>
        </w:rPr>
        <w:t>ом</w:t>
      </w:r>
      <w:r w:rsidRPr="0065660A">
        <w:rPr>
          <w:rFonts w:eastAsia="Calibri"/>
          <w:sz w:val="26"/>
          <w:szCs w:val="26"/>
          <w:lang w:eastAsia="en-US"/>
        </w:rPr>
        <w:t xml:space="preserve"> по курируемым направлениям деятельности, и ведомственных нормативных правовых актов Министерств</w:t>
      </w:r>
      <w:r>
        <w:rPr>
          <w:rFonts w:eastAsia="Calibri"/>
          <w:sz w:val="26"/>
          <w:szCs w:val="26"/>
          <w:lang w:eastAsia="en-US"/>
        </w:rPr>
        <w:t>а</w:t>
      </w:r>
      <w:r w:rsidRPr="0065660A">
        <w:rPr>
          <w:rFonts w:eastAsia="Calibri"/>
          <w:sz w:val="26"/>
          <w:szCs w:val="26"/>
          <w:lang w:eastAsia="en-US"/>
        </w:rPr>
        <w:t xml:space="preserve"> (далее - правовой акт), в которых выявлены риски нарушения антимонопольного законодательства, рассчитывается по формуле:</w:t>
      </w:r>
    </w:p>
    <w:p w:rsidR="002223EF" w:rsidRPr="0065660A" w:rsidRDefault="002223EF" w:rsidP="002223EF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2223EF" w:rsidRPr="0065660A" w:rsidRDefault="007D6D1A" w:rsidP="002223E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noProof/>
          <w:sz w:val="26"/>
          <w:szCs w:val="26"/>
        </w:rPr>
        <mc:AlternateContent>
          <mc:Choice Requires="wpc">
            <w:drawing>
              <wp:inline distT="0" distB="0" distL="0" distR="0">
                <wp:extent cx="1419225" cy="473075"/>
                <wp:effectExtent l="0" t="0" r="0" b="3175"/>
                <wp:docPr id="14" name="Полотно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0" name="Line 12"/>
                        <wps:cNvCnPr/>
                        <wps:spPr bwMode="auto">
                          <a:xfrm>
                            <a:off x="558800" y="240665"/>
                            <a:ext cx="463550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588645" y="9525"/>
                            <a:ext cx="2927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6D1A" w:rsidRDefault="007D6D1A">
                              <w:r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Кпа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27940" y="125095"/>
                            <a:ext cx="134937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6D1A" w:rsidRDefault="007D6D1A">
                              <w:r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Дпа=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 xml:space="preserve">              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, где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570230" y="268605"/>
                            <a:ext cx="43116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6D1A" w:rsidRDefault="007D6D1A">
                              <w:r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КНоп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4" o:spid="_x0000_s1032" editas="canvas" style="width:111.75pt;height:37.25pt;mso-position-horizontal-relative:char;mso-position-vertical-relative:line" coordsize="14192,4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">
                <v:shape id="_x0000_s1033" type="#_x0000_t75" style="position:absolute;width:14192;height:4730;visibility:visible;mso-wrap-style:square">
                  <v:fill o:detectmouseclick="t"/>
                  <v:path o:connecttype="none"/>
                </v:shape>
                <v:line id="Line 12" o:spid="_x0000_s1034" style="position:absolute;visibility:visible;mso-wrap-style:square" from="5588,2406" to="10223,2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ZTk8UAAADbAAAADwAAAGRycy9kb3ducmV2LnhtbESPzW7CQAyE75V4h5WRuFSwgUMbBRbU&#10;IiGFS1t+HsDKmiTqrjfNLhDevj5U6s3WjGc+rzaDd+pGfWwDG5jPMlDEVbAt1wbOp900BxUTskUX&#10;mAw8KMJmPXpaYWHDnQ90O6ZaSQjHAg00KXWF1rFqyGOchY5YtEvoPSZZ+1rbHu8S7p1eZNmL9tiy&#10;NDTY0bah6vt49Qae88P5s6ze/SX/OO1/vlz5GlxpzGQ8vC1BJRrSv/nvurSCL/Tyiwyg1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FZTk8UAAADbAAAADwAAAAAAAAAA&#10;AAAAAAChAgAAZHJzL2Rvd25yZXYueG1sUEsFBgAAAAAEAAQA+QAAAJMDAAAAAA==&#10;" strokeweight=".7pt"/>
                <v:rect id="Rectangle 13" o:spid="_x0000_s1035" style="position:absolute;left:5886;top:95;width:2927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<v:textbox style="mso-fit-shape-to-text:t" inset="0,0,0,0">
                    <w:txbxContent>
                      <w:p w:rsidR="007D6D1A" w:rsidRDefault="007D6D1A">
                        <w:r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Кпа</w:t>
                        </w:r>
                      </w:p>
                    </w:txbxContent>
                  </v:textbox>
                </v:rect>
                <v:rect id="Rectangle 14" o:spid="_x0000_s1036" style="position:absolute;left:279;top:1250;width:13494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<v:textbox style="mso-fit-shape-to-text:t" inset="0,0,0,0">
                    <w:txbxContent>
                      <w:p w:rsidR="007D6D1A" w:rsidRDefault="007D6D1A">
                        <w:r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Дпа=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              </w:t>
                        </w:r>
                        <w:r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, где</w:t>
                        </w:r>
                      </w:p>
                    </w:txbxContent>
                  </v:textbox>
                </v:rect>
                <v:rect id="Rectangle 15" o:spid="_x0000_s1037" style="position:absolute;left:5702;top:2686;width:4311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<v:textbox style="mso-fit-shape-to-text:t" inset="0,0,0,0">
                    <w:txbxContent>
                      <w:p w:rsidR="007D6D1A" w:rsidRDefault="007D6D1A">
                        <w:r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КНоп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2223EF" w:rsidRPr="0065660A" w:rsidRDefault="002223EF" w:rsidP="002223EF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2223EF" w:rsidRPr="0065660A" w:rsidRDefault="002223EF" w:rsidP="002223E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5660A">
        <w:rPr>
          <w:rFonts w:eastAsia="Calibri"/>
          <w:sz w:val="26"/>
          <w:szCs w:val="26"/>
          <w:lang w:eastAsia="en-US"/>
        </w:rPr>
        <w:t>Дпа - доля правовых актов, в которых выявлены риски нарушения антимонопольного законодательства;</w:t>
      </w:r>
    </w:p>
    <w:p w:rsidR="002223EF" w:rsidRPr="0065660A" w:rsidRDefault="002223EF" w:rsidP="002223E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5660A">
        <w:rPr>
          <w:rFonts w:eastAsia="Calibri"/>
          <w:sz w:val="26"/>
          <w:szCs w:val="26"/>
          <w:lang w:eastAsia="en-US"/>
        </w:rPr>
        <w:t>Кнпа - количество правовых актов, в которых Министерств</w:t>
      </w:r>
      <w:r>
        <w:rPr>
          <w:rFonts w:eastAsia="Calibri"/>
          <w:sz w:val="26"/>
          <w:szCs w:val="26"/>
          <w:lang w:eastAsia="en-US"/>
        </w:rPr>
        <w:t>ом</w:t>
      </w:r>
      <w:r w:rsidRPr="0065660A">
        <w:rPr>
          <w:rFonts w:eastAsia="Calibri"/>
          <w:sz w:val="26"/>
          <w:szCs w:val="26"/>
          <w:lang w:eastAsia="en-US"/>
        </w:rPr>
        <w:t xml:space="preserve"> выявлены риски нарушения антимонопольного законодательства (в отчетном периоде);</w:t>
      </w:r>
    </w:p>
    <w:p w:rsidR="002223EF" w:rsidRPr="0065660A" w:rsidRDefault="002223EF" w:rsidP="002223E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5660A">
        <w:rPr>
          <w:rFonts w:eastAsia="Calibri"/>
          <w:sz w:val="26"/>
          <w:szCs w:val="26"/>
          <w:lang w:eastAsia="en-US"/>
        </w:rPr>
        <w:t>КНоп - количество правовых актов, в которых антимонопольным органом выявлены нарушения антимонопольного законодательства (в отчетном периоде).</w:t>
      </w:r>
    </w:p>
    <w:p w:rsidR="002223EF" w:rsidRPr="0065660A" w:rsidRDefault="002223EF" w:rsidP="002223EF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2223EF" w:rsidRPr="0065660A" w:rsidRDefault="002223EF" w:rsidP="002223EF">
      <w:pPr>
        <w:ind w:firstLine="709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65660A">
        <w:rPr>
          <w:rFonts w:eastAsia="Calibri"/>
          <w:b/>
          <w:bCs/>
          <w:sz w:val="26"/>
          <w:szCs w:val="26"/>
          <w:lang w:eastAsia="en-US"/>
        </w:rPr>
        <w:t>III. Методика расчета ключевых показателей</w:t>
      </w:r>
    </w:p>
    <w:p w:rsidR="002223EF" w:rsidRPr="0065660A" w:rsidRDefault="002223EF" w:rsidP="002223EF">
      <w:pPr>
        <w:ind w:firstLine="709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65660A">
        <w:rPr>
          <w:rFonts w:eastAsia="Calibri"/>
          <w:b/>
          <w:bCs/>
          <w:sz w:val="26"/>
          <w:szCs w:val="26"/>
          <w:lang w:eastAsia="en-US"/>
        </w:rPr>
        <w:t xml:space="preserve">эффективности </w:t>
      </w:r>
      <w:r w:rsidR="00EA0727">
        <w:rPr>
          <w:rFonts w:eastAsia="Calibri"/>
          <w:b/>
          <w:bCs/>
          <w:sz w:val="26"/>
          <w:szCs w:val="26"/>
          <w:lang w:eastAsia="en-US"/>
        </w:rPr>
        <w:t xml:space="preserve">структурных подразделений Министерства и </w:t>
      </w:r>
    </w:p>
    <w:p w:rsidR="0022499F" w:rsidRPr="0065660A" w:rsidRDefault="0022499F" w:rsidP="0022499F">
      <w:pPr>
        <w:ind w:firstLine="709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EE69B7">
        <w:rPr>
          <w:rFonts w:eastAsia="Calibri"/>
          <w:b/>
          <w:sz w:val="26"/>
          <w:szCs w:val="26"/>
          <w:lang w:eastAsia="en-US"/>
        </w:rPr>
        <w:t>Министерства</w:t>
      </w:r>
      <w:r w:rsidRPr="00EE69B7"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Pr="0065660A">
        <w:rPr>
          <w:rFonts w:eastAsia="Calibri"/>
          <w:b/>
          <w:bCs/>
          <w:sz w:val="26"/>
          <w:szCs w:val="26"/>
          <w:lang w:eastAsia="en-US"/>
        </w:rPr>
        <w:t>в целом</w:t>
      </w:r>
    </w:p>
    <w:p w:rsidR="002223EF" w:rsidRPr="0065660A" w:rsidRDefault="002223EF" w:rsidP="002223EF">
      <w:pPr>
        <w:ind w:firstLine="709"/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:rsidR="002223EF" w:rsidRPr="0065660A" w:rsidRDefault="002223EF" w:rsidP="002223EF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2223EF" w:rsidRPr="0065660A" w:rsidRDefault="002223EF" w:rsidP="002223E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5660A">
        <w:rPr>
          <w:rFonts w:eastAsia="Calibri"/>
          <w:sz w:val="26"/>
          <w:szCs w:val="26"/>
          <w:lang w:eastAsia="en-US"/>
        </w:rPr>
        <w:t>6. Доля государственных гражданских служащих Чувашской Республики, замещающие должности государственной гражданской службы Чувашской Республики в Министерств</w:t>
      </w:r>
      <w:r>
        <w:rPr>
          <w:rFonts w:eastAsia="Calibri"/>
          <w:sz w:val="26"/>
          <w:szCs w:val="26"/>
          <w:lang w:eastAsia="en-US"/>
        </w:rPr>
        <w:t>е</w:t>
      </w:r>
      <w:r w:rsidRPr="0065660A">
        <w:rPr>
          <w:rFonts w:eastAsia="Calibri"/>
          <w:sz w:val="26"/>
          <w:szCs w:val="26"/>
          <w:lang w:eastAsia="en-US"/>
        </w:rPr>
        <w:t xml:space="preserve"> (далее - гражданский служащий), с которыми были проведены обучающие мероприятия по антимонопольному законодательству и антимонопольному комплаенсу, рассчитывается по формуле:</w:t>
      </w:r>
    </w:p>
    <w:p w:rsidR="002223EF" w:rsidRPr="0065660A" w:rsidRDefault="002223EF" w:rsidP="002223EF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2223EF" w:rsidRPr="0065660A" w:rsidRDefault="002223EF" w:rsidP="002223E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noProof/>
          <w:position w:val="-26"/>
          <w:sz w:val="26"/>
          <w:szCs w:val="26"/>
        </w:rPr>
        <w:drawing>
          <wp:inline distT="0" distB="0" distL="0" distR="0">
            <wp:extent cx="1466850" cy="495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3EF" w:rsidRPr="0065660A" w:rsidRDefault="002223EF" w:rsidP="002223EF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2223EF" w:rsidRPr="0065660A" w:rsidRDefault="002223EF" w:rsidP="002223E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5660A">
        <w:rPr>
          <w:rFonts w:eastAsia="Calibri"/>
          <w:sz w:val="26"/>
          <w:szCs w:val="26"/>
          <w:lang w:eastAsia="en-US"/>
        </w:rPr>
        <w:t>Дгс - доля гражданских служащих, с которыми были проведены обучающие мероприятия по антимонопольному законодательству и антимонопольному комплаенсу;</w:t>
      </w:r>
    </w:p>
    <w:p w:rsidR="002223EF" w:rsidRPr="0065660A" w:rsidRDefault="002223EF" w:rsidP="002223E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5660A">
        <w:rPr>
          <w:rFonts w:eastAsia="Calibri"/>
          <w:sz w:val="26"/>
          <w:szCs w:val="26"/>
          <w:lang w:eastAsia="en-US"/>
        </w:rPr>
        <w:t>Кгс - количество гражданских служащих, с которыми были проведены обучающие мероприятия по антимонопольному законодательству и антимонопольному комплаенсу;</w:t>
      </w:r>
    </w:p>
    <w:p w:rsidR="002223EF" w:rsidRPr="0065660A" w:rsidRDefault="002223EF" w:rsidP="002223E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5660A">
        <w:rPr>
          <w:rFonts w:eastAsia="Calibri"/>
          <w:sz w:val="26"/>
          <w:szCs w:val="26"/>
          <w:lang w:eastAsia="en-US"/>
        </w:rPr>
        <w:t>Кгсобщ - общее количество гражданских служащих, чьи должностные (служебные) обязанности предусматривают выполнение функций, связанных с рисками нарушения антимонопольного законодательства.</w:t>
      </w:r>
    </w:p>
    <w:p w:rsidR="002223EF" w:rsidRPr="0065660A" w:rsidRDefault="002223EF" w:rsidP="002223EF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2223EF" w:rsidRPr="0065660A" w:rsidRDefault="002223EF" w:rsidP="0022499F">
      <w:pPr>
        <w:ind w:firstLine="709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65660A">
        <w:rPr>
          <w:rFonts w:eastAsia="Calibri"/>
          <w:b/>
          <w:bCs/>
          <w:sz w:val="26"/>
          <w:szCs w:val="26"/>
          <w:lang w:eastAsia="en-US"/>
        </w:rPr>
        <w:t>IV. Оценка значений ключевых показателей эффективности</w:t>
      </w:r>
      <w:r w:rsidR="00A820FE" w:rsidRPr="00A820FE"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="00A820FE">
        <w:rPr>
          <w:rFonts w:eastAsia="Calibri"/>
          <w:b/>
          <w:bCs/>
          <w:sz w:val="26"/>
          <w:szCs w:val="26"/>
          <w:lang w:eastAsia="en-US"/>
        </w:rPr>
        <w:t xml:space="preserve">структурных подразделений Министерства и </w:t>
      </w:r>
      <w:r w:rsidRPr="0010440E">
        <w:rPr>
          <w:rFonts w:eastAsia="Calibri"/>
          <w:b/>
          <w:sz w:val="26"/>
          <w:szCs w:val="26"/>
          <w:lang w:eastAsia="en-US"/>
        </w:rPr>
        <w:t xml:space="preserve">Министерства </w:t>
      </w:r>
      <w:r w:rsidRPr="0010440E">
        <w:rPr>
          <w:rFonts w:eastAsia="Calibri"/>
          <w:b/>
          <w:bCs/>
          <w:sz w:val="26"/>
          <w:szCs w:val="26"/>
          <w:lang w:eastAsia="en-US"/>
        </w:rPr>
        <w:t xml:space="preserve">в целом </w:t>
      </w:r>
    </w:p>
    <w:p w:rsidR="002223EF" w:rsidRPr="0065660A" w:rsidRDefault="002223EF" w:rsidP="002223EF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2223EF" w:rsidRPr="0065660A" w:rsidRDefault="002223EF" w:rsidP="002223E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5660A">
        <w:rPr>
          <w:rFonts w:eastAsia="Calibri"/>
          <w:sz w:val="26"/>
          <w:szCs w:val="26"/>
          <w:lang w:eastAsia="en-US"/>
        </w:rPr>
        <w:t>7. Оценка значений ключ</w:t>
      </w:r>
      <w:r>
        <w:rPr>
          <w:rFonts w:eastAsia="Calibri"/>
          <w:sz w:val="26"/>
          <w:szCs w:val="26"/>
          <w:lang w:eastAsia="en-US"/>
        </w:rPr>
        <w:t>евых показателей эффективности «</w:t>
      </w:r>
      <w:r w:rsidRPr="0065660A">
        <w:rPr>
          <w:rFonts w:eastAsia="Calibri"/>
          <w:sz w:val="26"/>
          <w:szCs w:val="26"/>
          <w:lang w:eastAsia="en-US"/>
        </w:rPr>
        <w:t>коэффициент снижения количества нарушений антимонопольного законодательства со стороны Министерств</w:t>
      </w:r>
      <w:r>
        <w:rPr>
          <w:rFonts w:eastAsia="Calibri"/>
          <w:sz w:val="26"/>
          <w:szCs w:val="26"/>
          <w:lang w:eastAsia="en-US"/>
        </w:rPr>
        <w:t>а</w:t>
      </w:r>
      <w:r w:rsidRPr="0065660A">
        <w:rPr>
          <w:rFonts w:eastAsia="Calibri"/>
          <w:sz w:val="26"/>
          <w:szCs w:val="26"/>
          <w:lang w:eastAsia="en-US"/>
        </w:rPr>
        <w:t xml:space="preserve"> (по сравнению с предыдущим годом)</w:t>
      </w:r>
      <w:r>
        <w:rPr>
          <w:rFonts w:eastAsia="Calibri"/>
          <w:sz w:val="26"/>
          <w:szCs w:val="26"/>
          <w:lang w:eastAsia="en-US"/>
        </w:rPr>
        <w:t>»</w:t>
      </w:r>
      <w:r w:rsidRPr="0065660A">
        <w:rPr>
          <w:rFonts w:eastAsia="Calibri"/>
          <w:sz w:val="26"/>
          <w:szCs w:val="26"/>
          <w:lang w:eastAsia="en-US"/>
        </w:rPr>
        <w:t>.</w:t>
      </w:r>
    </w:p>
    <w:p w:rsidR="002223EF" w:rsidRPr="0065660A" w:rsidRDefault="002223EF" w:rsidP="002223E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5660A">
        <w:rPr>
          <w:rFonts w:eastAsia="Calibri"/>
          <w:sz w:val="26"/>
          <w:szCs w:val="26"/>
          <w:lang w:eastAsia="en-US"/>
        </w:rPr>
        <w:t xml:space="preserve">Ключевой показатель </w:t>
      </w:r>
      <w:r>
        <w:rPr>
          <w:rFonts w:eastAsia="Calibri"/>
          <w:sz w:val="26"/>
          <w:szCs w:val="26"/>
          <w:lang w:eastAsia="en-US"/>
        </w:rPr>
        <w:t>«</w:t>
      </w:r>
      <w:r w:rsidRPr="0065660A">
        <w:rPr>
          <w:rFonts w:eastAsia="Calibri"/>
          <w:sz w:val="26"/>
          <w:szCs w:val="26"/>
          <w:lang w:eastAsia="en-US"/>
        </w:rPr>
        <w:t>коэффициент снижения количества нарушений антимонопольного законодательства (п</w:t>
      </w:r>
      <w:r>
        <w:rPr>
          <w:rFonts w:eastAsia="Calibri"/>
          <w:sz w:val="26"/>
          <w:szCs w:val="26"/>
          <w:lang w:eastAsia="en-US"/>
        </w:rPr>
        <w:t>о сравнению с предыдущим годом)»</w:t>
      </w:r>
      <w:r w:rsidRPr="0065660A">
        <w:rPr>
          <w:rFonts w:eastAsia="Calibri"/>
          <w:sz w:val="26"/>
          <w:szCs w:val="26"/>
          <w:lang w:eastAsia="en-US"/>
        </w:rPr>
        <w:t xml:space="preserve"> соотносится с ключевым показателем мероприятий, предусмотренным </w:t>
      </w:r>
      <w:hyperlink r:id="rId8" w:history="1">
        <w:r w:rsidRPr="0065660A">
          <w:rPr>
            <w:rFonts w:eastAsia="Calibri"/>
            <w:sz w:val="26"/>
            <w:szCs w:val="26"/>
            <w:lang w:eastAsia="en-US"/>
          </w:rPr>
          <w:t>подпунктом «б» пункта 1</w:t>
        </w:r>
      </w:hyperlink>
      <w:r w:rsidRPr="0065660A">
        <w:rPr>
          <w:rFonts w:eastAsia="Calibri"/>
          <w:sz w:val="26"/>
          <w:szCs w:val="26"/>
          <w:lang w:eastAsia="en-US"/>
        </w:rPr>
        <w:t xml:space="preserve"> Национального плана развития конкуренции в Российской Федерации на 2018 - 2020 годы (далее - Национальный план), утвержденным Указом Президента Р</w:t>
      </w:r>
      <w:r w:rsidR="00A820FE">
        <w:rPr>
          <w:rFonts w:eastAsia="Calibri"/>
          <w:sz w:val="26"/>
          <w:szCs w:val="26"/>
          <w:lang w:eastAsia="en-US"/>
        </w:rPr>
        <w:t xml:space="preserve">оссийской </w:t>
      </w:r>
      <w:r w:rsidRPr="0065660A">
        <w:rPr>
          <w:rFonts w:eastAsia="Calibri"/>
          <w:sz w:val="26"/>
          <w:szCs w:val="26"/>
          <w:lang w:eastAsia="en-US"/>
        </w:rPr>
        <w:t>Ф</w:t>
      </w:r>
      <w:r w:rsidR="00A820FE">
        <w:rPr>
          <w:rFonts w:eastAsia="Calibri"/>
          <w:sz w:val="26"/>
          <w:szCs w:val="26"/>
          <w:lang w:eastAsia="en-US"/>
        </w:rPr>
        <w:t>едерации</w:t>
      </w:r>
      <w:r w:rsidRPr="0065660A">
        <w:rPr>
          <w:rFonts w:eastAsia="Calibri"/>
          <w:sz w:val="26"/>
          <w:szCs w:val="26"/>
          <w:lang w:eastAsia="en-US"/>
        </w:rPr>
        <w:t xml:space="preserve"> от 21.12.2017 № 618 «Об основных направлениях государственной политики по развитию конкуренции», а именно: «снижение количества нарушений антимонопольного законодательства в Министерств</w:t>
      </w:r>
      <w:r>
        <w:rPr>
          <w:rFonts w:eastAsia="Calibri"/>
          <w:sz w:val="26"/>
          <w:szCs w:val="26"/>
          <w:lang w:eastAsia="en-US"/>
        </w:rPr>
        <w:t>е</w:t>
      </w:r>
      <w:r w:rsidRPr="0065660A">
        <w:rPr>
          <w:rFonts w:eastAsia="Calibri"/>
          <w:sz w:val="26"/>
          <w:szCs w:val="26"/>
          <w:lang w:eastAsia="en-US"/>
        </w:rPr>
        <w:t xml:space="preserve"> к 2020 году не менее чем в 2 раза по сравнению с 2019 годом».</w:t>
      </w:r>
    </w:p>
    <w:p w:rsidR="002223EF" w:rsidRPr="0065660A" w:rsidRDefault="002223EF" w:rsidP="002223E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5660A">
        <w:rPr>
          <w:rFonts w:eastAsia="Calibri"/>
          <w:sz w:val="26"/>
          <w:szCs w:val="26"/>
          <w:lang w:eastAsia="en-US"/>
        </w:rPr>
        <w:t>Ежегодная оценка значения ключевых показателей эффективности «коэффициент снижения количества нарушений антимонопольного законодательства со стороны Министерства (по сравнению с предыдущим годом)» призвана обеспечить понимание об эффективности функционирования антимонопольного комплаенса в Министерств</w:t>
      </w:r>
      <w:r>
        <w:rPr>
          <w:rFonts w:eastAsia="Calibri"/>
          <w:sz w:val="26"/>
          <w:szCs w:val="26"/>
          <w:lang w:eastAsia="en-US"/>
        </w:rPr>
        <w:t>е</w:t>
      </w:r>
      <w:r w:rsidRPr="0065660A">
        <w:rPr>
          <w:rFonts w:eastAsia="Calibri"/>
          <w:sz w:val="26"/>
          <w:szCs w:val="26"/>
          <w:lang w:eastAsia="en-US"/>
        </w:rPr>
        <w:t xml:space="preserve"> и о соответствии мероприятий антимонопольного комплаенса Министерств</w:t>
      </w:r>
      <w:r>
        <w:rPr>
          <w:rFonts w:eastAsia="Calibri"/>
          <w:sz w:val="26"/>
          <w:szCs w:val="26"/>
          <w:lang w:eastAsia="en-US"/>
        </w:rPr>
        <w:t xml:space="preserve">а </w:t>
      </w:r>
      <w:r w:rsidRPr="0065660A">
        <w:rPr>
          <w:rFonts w:eastAsia="Calibri"/>
          <w:sz w:val="26"/>
          <w:szCs w:val="26"/>
          <w:lang w:eastAsia="en-US"/>
        </w:rPr>
        <w:t xml:space="preserve">направлениям совершенствования государственной политики по развитию конкуренции, установленных Национальным </w:t>
      </w:r>
      <w:hyperlink r:id="rId9" w:history="1">
        <w:r w:rsidRPr="0065660A">
          <w:rPr>
            <w:rFonts w:eastAsia="Calibri"/>
            <w:sz w:val="26"/>
            <w:szCs w:val="26"/>
            <w:lang w:eastAsia="en-US"/>
          </w:rPr>
          <w:t>планом</w:t>
        </w:r>
      </w:hyperlink>
      <w:r w:rsidRPr="0065660A">
        <w:rPr>
          <w:rFonts w:eastAsia="Calibri"/>
          <w:sz w:val="26"/>
          <w:szCs w:val="26"/>
          <w:lang w:eastAsia="en-US"/>
        </w:rPr>
        <w:t>.</w:t>
      </w:r>
    </w:p>
    <w:p w:rsidR="002223EF" w:rsidRPr="0065660A" w:rsidRDefault="002223EF" w:rsidP="002223E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5660A">
        <w:rPr>
          <w:rFonts w:eastAsia="Calibri"/>
          <w:sz w:val="26"/>
          <w:szCs w:val="26"/>
          <w:lang w:eastAsia="en-US"/>
        </w:rPr>
        <w:t>8. Оценка значений ключевых показателей эффективности «доля проектов правовых актов, в которых выявлены риски нарушения антимонопольного законодательства» и «доля правовых актов в которых выявлены риски нарушения антимонопольного законодательства».</w:t>
      </w:r>
    </w:p>
    <w:p w:rsidR="002223EF" w:rsidRPr="0065660A" w:rsidRDefault="002223EF" w:rsidP="002223E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5660A">
        <w:rPr>
          <w:rFonts w:eastAsia="Calibri"/>
          <w:sz w:val="26"/>
          <w:szCs w:val="26"/>
          <w:lang w:eastAsia="en-US"/>
        </w:rPr>
        <w:t>Оценка вышеуказанных значений ключевых показателей эффективности направлена на понимание эффективности мероприятий антимонопольного комплаенса.</w:t>
      </w:r>
    </w:p>
    <w:p w:rsidR="002223EF" w:rsidRPr="0065660A" w:rsidRDefault="002223EF" w:rsidP="002223E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5660A">
        <w:rPr>
          <w:rFonts w:eastAsia="Calibri"/>
          <w:sz w:val="26"/>
          <w:szCs w:val="26"/>
          <w:lang w:eastAsia="en-US"/>
        </w:rPr>
        <w:t>При эффективном проведении мероприятий по анализу правовых актов на предмет выявления заложенных в них рисков нарушения антимонопольного законодательства (то есть, при высоком значении числителя) должно наблюдаться уменьшение нормативных правовых актов в Министерств</w:t>
      </w:r>
      <w:r>
        <w:rPr>
          <w:rFonts w:eastAsia="Calibri"/>
          <w:sz w:val="26"/>
          <w:szCs w:val="26"/>
          <w:lang w:eastAsia="en-US"/>
        </w:rPr>
        <w:t>е</w:t>
      </w:r>
      <w:r w:rsidRPr="0065660A">
        <w:rPr>
          <w:rFonts w:eastAsia="Calibri"/>
          <w:sz w:val="26"/>
          <w:szCs w:val="26"/>
          <w:lang w:eastAsia="en-US"/>
        </w:rPr>
        <w:t xml:space="preserve">, в отношении которых антимонопольным органом выявлены нарушения антимонопольного законодательства (то есть, низкое значение знаменателя). Таким образом, значение ключевых показателей эффективности будет тем выше, чем эффективней данные мероприятия антимонопольного комплаенса будут осуществляться </w:t>
      </w:r>
      <w:r w:rsidR="00A820FE">
        <w:rPr>
          <w:rFonts w:eastAsia="Calibri"/>
          <w:sz w:val="26"/>
          <w:szCs w:val="26"/>
          <w:lang w:eastAsia="en-US"/>
        </w:rPr>
        <w:t xml:space="preserve">структурными подразделениями Министерства и </w:t>
      </w:r>
      <w:r w:rsidRPr="0065660A">
        <w:rPr>
          <w:rFonts w:eastAsia="Calibri"/>
          <w:sz w:val="26"/>
          <w:szCs w:val="26"/>
          <w:lang w:eastAsia="en-US"/>
        </w:rPr>
        <w:t>Министерств</w:t>
      </w:r>
      <w:r>
        <w:rPr>
          <w:rFonts w:eastAsia="Calibri"/>
          <w:sz w:val="26"/>
          <w:szCs w:val="26"/>
          <w:lang w:eastAsia="en-US"/>
        </w:rPr>
        <w:t>ом</w:t>
      </w:r>
      <w:r w:rsidRPr="0065660A">
        <w:rPr>
          <w:rFonts w:eastAsia="Calibri"/>
          <w:sz w:val="26"/>
          <w:szCs w:val="26"/>
          <w:lang w:eastAsia="en-US"/>
        </w:rPr>
        <w:t xml:space="preserve"> в целом. И наоборот, при невысоком значении долей нормативных правовых актов (числитель) наряду с высоким количеством выявленных антимонопольным органом нарушений антимонопольного законодательства в таких актах (знаменатель), низкие значения ключевых показателей эффективности будут свидетельствовать о низкой эффективности данных мероприятий.</w:t>
      </w:r>
    </w:p>
    <w:p w:rsidR="002223EF" w:rsidRPr="0065660A" w:rsidRDefault="002223EF" w:rsidP="002223E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5660A">
        <w:rPr>
          <w:rFonts w:eastAsia="Calibri"/>
          <w:sz w:val="26"/>
          <w:szCs w:val="26"/>
          <w:lang w:eastAsia="en-US"/>
        </w:rPr>
        <w:t>9. Оценка значения ключевых показателей эффективности «гражданских служащих, с которыми были проведены обучающие мероприятия по антимонопольному законодательству и антимонопольному комплаенсу».</w:t>
      </w:r>
    </w:p>
    <w:p w:rsidR="002223EF" w:rsidRPr="0065660A" w:rsidRDefault="002223EF" w:rsidP="002223E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5660A">
        <w:rPr>
          <w:rFonts w:eastAsia="Calibri"/>
          <w:sz w:val="26"/>
          <w:szCs w:val="26"/>
          <w:lang w:eastAsia="en-US"/>
        </w:rPr>
        <w:t>Консультирование и обучение гражданских служащих по вопросам, связанным с соблюдением антимонопольного законодательства и антимонопольным комплаенсом, отнесено к компетенции уполномоченного структурного подразделения (должностного лица) и направлено на профилактику нарушений требований антимонопольного законодательства в деятельности Министерств</w:t>
      </w:r>
      <w:r>
        <w:rPr>
          <w:rFonts w:eastAsia="Calibri"/>
          <w:sz w:val="26"/>
          <w:szCs w:val="26"/>
          <w:lang w:eastAsia="en-US"/>
        </w:rPr>
        <w:t>а</w:t>
      </w:r>
      <w:r w:rsidRPr="0065660A">
        <w:rPr>
          <w:rFonts w:eastAsia="Calibri"/>
          <w:sz w:val="26"/>
          <w:szCs w:val="26"/>
          <w:lang w:eastAsia="en-US"/>
        </w:rPr>
        <w:t>. В том числе от эффективности работы уполномоченного структурного подразделения (должностного лица) Министерств</w:t>
      </w:r>
      <w:r>
        <w:rPr>
          <w:rFonts w:eastAsia="Calibri"/>
          <w:sz w:val="26"/>
          <w:szCs w:val="26"/>
          <w:lang w:eastAsia="en-US"/>
        </w:rPr>
        <w:t>а</w:t>
      </w:r>
      <w:r w:rsidRPr="0065660A">
        <w:rPr>
          <w:rFonts w:eastAsia="Calibri"/>
          <w:sz w:val="26"/>
          <w:szCs w:val="26"/>
          <w:lang w:eastAsia="en-US"/>
        </w:rPr>
        <w:t xml:space="preserve"> по данному направлению напрямую зависит возможность достижения целей, предусмотренных </w:t>
      </w:r>
      <w:hyperlink r:id="rId10" w:history="1">
        <w:r>
          <w:rPr>
            <w:rFonts w:eastAsia="Calibri"/>
            <w:sz w:val="26"/>
            <w:szCs w:val="26"/>
            <w:lang w:eastAsia="en-US"/>
          </w:rPr>
          <w:t>подпунктом «</w:t>
        </w:r>
        <w:r w:rsidRPr="0065660A">
          <w:rPr>
            <w:rFonts w:eastAsia="Calibri"/>
            <w:sz w:val="26"/>
            <w:szCs w:val="26"/>
            <w:lang w:eastAsia="en-US"/>
          </w:rPr>
          <w:t>б</w:t>
        </w:r>
        <w:r>
          <w:rPr>
            <w:rFonts w:eastAsia="Calibri"/>
            <w:sz w:val="26"/>
            <w:szCs w:val="26"/>
            <w:lang w:eastAsia="en-US"/>
          </w:rPr>
          <w:t>»</w:t>
        </w:r>
        <w:r w:rsidRPr="0065660A">
          <w:rPr>
            <w:rFonts w:eastAsia="Calibri"/>
            <w:sz w:val="26"/>
            <w:szCs w:val="26"/>
            <w:lang w:eastAsia="en-US"/>
          </w:rPr>
          <w:t xml:space="preserve"> пункта 1</w:t>
        </w:r>
      </w:hyperlink>
      <w:r w:rsidRPr="0065660A">
        <w:rPr>
          <w:rFonts w:eastAsia="Calibri"/>
          <w:sz w:val="26"/>
          <w:szCs w:val="26"/>
          <w:lang w:eastAsia="en-US"/>
        </w:rPr>
        <w:t xml:space="preserve"> Национального плана.</w:t>
      </w:r>
    </w:p>
    <w:p w:rsidR="002223EF" w:rsidRDefault="002223EF" w:rsidP="002223E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5660A">
        <w:rPr>
          <w:rFonts w:eastAsia="Calibri"/>
          <w:sz w:val="26"/>
          <w:szCs w:val="26"/>
          <w:lang w:eastAsia="en-US"/>
        </w:rPr>
        <w:t>Расчет данного показателя предусматривает определение гражданских служащих, чьи должностные (служебные) обязанности предусматривают выполнение функций, связанных с рисками нарушения антимонопольного законодательства, и определение из их числа количества гражданских служащих, с которыми были проведены обучающие мероприятия по антимонопольному законодательству и антимонопольному комплаенсу. Высокое значение количества гражданских служащих, с которыми были проведены обучающие мероприятия по антимонопольному законодательству и антимонопольному комплаенсу (числитель), обеспечивает высокое значение ключевых показателей эффективности.</w:t>
      </w:r>
    </w:p>
    <w:p w:rsidR="001F65D3" w:rsidRDefault="001F65D3" w:rsidP="002223EF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1F65D3" w:rsidRDefault="001F65D3" w:rsidP="002223EF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1F65D3" w:rsidRDefault="001F65D3" w:rsidP="002223EF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1F65D3" w:rsidRDefault="001F65D3" w:rsidP="002223EF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1F65D3" w:rsidRDefault="001F65D3" w:rsidP="002223EF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1F65D3" w:rsidRDefault="001F65D3" w:rsidP="002223EF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1F65D3" w:rsidRDefault="001F65D3" w:rsidP="002223EF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1F65D3" w:rsidRDefault="001F65D3" w:rsidP="002223EF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22499F" w:rsidRDefault="0022499F" w:rsidP="001F65D3">
      <w:pPr>
        <w:ind w:left="5103"/>
        <w:jc w:val="center"/>
        <w:rPr>
          <w:sz w:val="26"/>
          <w:szCs w:val="26"/>
          <w:lang w:eastAsia="en-US"/>
        </w:rPr>
      </w:pPr>
    </w:p>
    <w:p w:rsidR="001F65D3" w:rsidRPr="0065660A" w:rsidRDefault="001F65D3" w:rsidP="001F65D3">
      <w:pPr>
        <w:ind w:left="5103"/>
        <w:jc w:val="center"/>
        <w:rPr>
          <w:sz w:val="26"/>
          <w:szCs w:val="26"/>
          <w:lang w:eastAsia="en-US"/>
        </w:rPr>
      </w:pPr>
      <w:r w:rsidRPr="0065660A">
        <w:rPr>
          <w:sz w:val="26"/>
          <w:szCs w:val="26"/>
          <w:lang w:eastAsia="en-US"/>
        </w:rPr>
        <w:t>Утвержден</w:t>
      </w:r>
      <w:r w:rsidR="0075328B">
        <w:rPr>
          <w:sz w:val="26"/>
          <w:szCs w:val="26"/>
          <w:lang w:eastAsia="en-US"/>
        </w:rPr>
        <w:t>а</w:t>
      </w:r>
    </w:p>
    <w:p w:rsidR="001F65D3" w:rsidRPr="0065660A" w:rsidRDefault="001F65D3" w:rsidP="001F65D3">
      <w:pPr>
        <w:ind w:left="5103"/>
        <w:jc w:val="center"/>
        <w:rPr>
          <w:sz w:val="26"/>
          <w:szCs w:val="26"/>
          <w:lang w:eastAsia="en-US"/>
        </w:rPr>
      </w:pPr>
      <w:r w:rsidRPr="0065660A">
        <w:rPr>
          <w:sz w:val="26"/>
          <w:szCs w:val="26"/>
          <w:lang w:eastAsia="en-US"/>
        </w:rPr>
        <w:t>приказом Мининформполитики Чувашии от _____________  № _____</w:t>
      </w:r>
    </w:p>
    <w:p w:rsidR="001F65D3" w:rsidRDefault="001F65D3" w:rsidP="001F65D3">
      <w:pPr>
        <w:ind w:left="5103"/>
        <w:jc w:val="center"/>
        <w:rPr>
          <w:sz w:val="26"/>
          <w:szCs w:val="26"/>
          <w:lang w:eastAsia="en-US"/>
        </w:rPr>
      </w:pPr>
      <w:r w:rsidRPr="0065660A">
        <w:rPr>
          <w:sz w:val="26"/>
          <w:szCs w:val="26"/>
          <w:lang w:eastAsia="en-US"/>
        </w:rPr>
        <w:t xml:space="preserve">(Приложение № </w:t>
      </w:r>
      <w:r>
        <w:rPr>
          <w:sz w:val="26"/>
          <w:szCs w:val="26"/>
          <w:lang w:eastAsia="en-US"/>
        </w:rPr>
        <w:t>3</w:t>
      </w:r>
      <w:r w:rsidRPr="0065660A">
        <w:rPr>
          <w:sz w:val="26"/>
          <w:szCs w:val="26"/>
          <w:lang w:eastAsia="en-US"/>
        </w:rPr>
        <w:t>)</w:t>
      </w:r>
    </w:p>
    <w:p w:rsidR="0075328B" w:rsidRPr="0065660A" w:rsidRDefault="0075328B" w:rsidP="001F65D3">
      <w:pPr>
        <w:ind w:left="5103"/>
        <w:jc w:val="center"/>
        <w:rPr>
          <w:sz w:val="26"/>
          <w:szCs w:val="26"/>
          <w:lang w:eastAsia="en-US"/>
        </w:rPr>
      </w:pPr>
    </w:p>
    <w:p w:rsidR="001F65D3" w:rsidRDefault="0075328B" w:rsidP="0075328B">
      <w:pPr>
        <w:ind w:firstLine="709"/>
        <w:jc w:val="center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>К</w:t>
      </w:r>
      <w:r w:rsidRPr="001F65D3">
        <w:rPr>
          <w:sz w:val="26"/>
          <w:szCs w:val="26"/>
          <w:lang w:bidi="ru-RU"/>
        </w:rPr>
        <w:t>арт</w:t>
      </w:r>
      <w:r>
        <w:rPr>
          <w:sz w:val="26"/>
          <w:szCs w:val="26"/>
          <w:lang w:bidi="ru-RU"/>
        </w:rPr>
        <w:t>а</w:t>
      </w:r>
      <w:r w:rsidRPr="001F65D3">
        <w:rPr>
          <w:sz w:val="26"/>
          <w:szCs w:val="26"/>
          <w:lang w:bidi="ru-RU"/>
        </w:rPr>
        <w:t xml:space="preserve"> комплаенс-рисков нарушения антимонопольного законодательства в </w:t>
      </w:r>
      <w:r w:rsidRPr="0065660A">
        <w:rPr>
          <w:rFonts w:eastAsia="Calibri"/>
          <w:sz w:val="26"/>
          <w:szCs w:val="26"/>
          <w:lang w:eastAsia="en-US"/>
        </w:rPr>
        <w:t xml:space="preserve">Министерстве цифрового развития, информационной политики и </w:t>
      </w:r>
      <w:r w:rsidRPr="001F65D3">
        <w:rPr>
          <w:rFonts w:eastAsia="Calibri"/>
          <w:sz w:val="26"/>
          <w:szCs w:val="26"/>
          <w:lang w:eastAsia="en-US"/>
        </w:rPr>
        <w:t>массовых коммуникаций Чувашской Республики</w:t>
      </w:r>
      <w:r>
        <w:rPr>
          <w:sz w:val="26"/>
          <w:szCs w:val="26"/>
          <w:lang w:bidi="ru-RU"/>
        </w:rPr>
        <w:t xml:space="preserve"> </w:t>
      </w:r>
      <w:r w:rsidRPr="001F65D3">
        <w:rPr>
          <w:sz w:val="26"/>
          <w:szCs w:val="26"/>
          <w:lang w:bidi="ru-RU"/>
        </w:rPr>
        <w:t>на 2019 год</w:t>
      </w:r>
    </w:p>
    <w:p w:rsidR="0075328B" w:rsidRDefault="0075328B" w:rsidP="0075328B">
      <w:pPr>
        <w:ind w:firstLine="709"/>
        <w:jc w:val="center"/>
        <w:rPr>
          <w:sz w:val="26"/>
          <w:szCs w:val="26"/>
          <w:lang w:bidi="ru-RU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2268"/>
        <w:gridCol w:w="2268"/>
        <w:gridCol w:w="3947"/>
      </w:tblGrid>
      <w:tr w:rsidR="0075328B" w:rsidRPr="0075328B" w:rsidTr="0075328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8B" w:rsidRPr="0075328B" w:rsidRDefault="0075328B">
            <w:pPr>
              <w:overflowPunct/>
              <w:jc w:val="center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75328B">
              <w:rPr>
                <w:rFonts w:eastAsiaTheme="minorHAnsi"/>
                <w:sz w:val="26"/>
                <w:szCs w:val="26"/>
                <w:lang w:eastAsia="en-US"/>
              </w:rPr>
              <w:t>Уровень риска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8B" w:rsidRPr="0075328B" w:rsidRDefault="0075328B">
            <w:pPr>
              <w:overflowPunct/>
              <w:jc w:val="center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75328B">
              <w:rPr>
                <w:rFonts w:eastAsiaTheme="minorHAnsi"/>
                <w:sz w:val="26"/>
                <w:szCs w:val="26"/>
                <w:lang w:eastAsia="en-US"/>
              </w:rPr>
              <w:t>Вид риска (описание)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8B" w:rsidRPr="0075328B" w:rsidRDefault="0075328B">
            <w:pPr>
              <w:overflowPunct/>
              <w:jc w:val="center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75328B">
              <w:rPr>
                <w:rFonts w:eastAsiaTheme="minorHAnsi"/>
                <w:sz w:val="26"/>
                <w:szCs w:val="26"/>
                <w:lang w:eastAsia="en-US"/>
              </w:rPr>
              <w:t>Описание причин возникновения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8B" w:rsidRPr="0075328B" w:rsidRDefault="0075328B">
            <w:pPr>
              <w:overflowPunct/>
              <w:jc w:val="center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75328B">
              <w:rPr>
                <w:rFonts w:eastAsiaTheme="minorHAnsi"/>
                <w:sz w:val="26"/>
                <w:szCs w:val="26"/>
                <w:lang w:eastAsia="en-US"/>
              </w:rPr>
              <w:t>Описание условий возникновения рисков</w:t>
            </w:r>
          </w:p>
        </w:tc>
      </w:tr>
      <w:tr w:rsidR="0075328B" w:rsidRPr="0075328B" w:rsidTr="0075328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8B" w:rsidRPr="0075328B" w:rsidRDefault="0075328B">
            <w:pPr>
              <w:overflowPunct/>
              <w:jc w:val="both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75328B">
              <w:rPr>
                <w:rFonts w:eastAsiaTheme="minorHAnsi"/>
                <w:sz w:val="26"/>
                <w:szCs w:val="26"/>
                <w:lang w:eastAsia="en-US"/>
              </w:rPr>
              <w:t>низкий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8B" w:rsidRPr="0075328B" w:rsidRDefault="0075328B" w:rsidP="007068E9">
            <w:pPr>
              <w:overflowPunct/>
              <w:jc w:val="both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75328B">
              <w:rPr>
                <w:rFonts w:eastAsiaTheme="minorHAnsi"/>
                <w:sz w:val="26"/>
                <w:szCs w:val="26"/>
                <w:lang w:eastAsia="en-US"/>
              </w:rPr>
              <w:t xml:space="preserve">отрицательное влияние на отношение институтов гражданского общества к деятельности Министерства </w:t>
            </w:r>
            <w:r w:rsidR="000A2408" w:rsidRPr="0065660A">
              <w:rPr>
                <w:rFonts w:eastAsia="Calibri"/>
                <w:sz w:val="26"/>
                <w:szCs w:val="26"/>
                <w:lang w:eastAsia="en-US"/>
              </w:rPr>
              <w:t xml:space="preserve">цифрового развития, информационной политики и </w:t>
            </w:r>
            <w:r w:rsidR="000A2408" w:rsidRPr="001F65D3">
              <w:rPr>
                <w:rFonts w:eastAsia="Calibri"/>
                <w:sz w:val="26"/>
                <w:szCs w:val="26"/>
                <w:lang w:eastAsia="en-US"/>
              </w:rPr>
              <w:t>массовых коммуникаций Чувашской Республики</w:t>
            </w:r>
            <w:r w:rsidR="000A2408">
              <w:rPr>
                <w:sz w:val="26"/>
                <w:szCs w:val="26"/>
                <w:lang w:bidi="ru-RU"/>
              </w:rPr>
              <w:t xml:space="preserve"> </w:t>
            </w:r>
            <w:r w:rsidRPr="0075328B">
              <w:rPr>
                <w:rFonts w:eastAsiaTheme="minorHAnsi"/>
                <w:sz w:val="26"/>
                <w:szCs w:val="26"/>
                <w:lang w:eastAsia="en-US"/>
              </w:rPr>
              <w:t>(далее - Министерство) вероятность выдачи предупреждения, возбуждения дела о нарушении антимонопольного законодательства, наложения штрафа отсутствует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8B" w:rsidRPr="0075328B" w:rsidRDefault="0075328B">
            <w:pPr>
              <w:overflowPunct/>
              <w:jc w:val="both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75328B">
              <w:rPr>
                <w:rFonts w:eastAsiaTheme="minorHAnsi"/>
                <w:sz w:val="26"/>
                <w:szCs w:val="26"/>
                <w:lang w:eastAsia="en-US"/>
              </w:rPr>
              <w:t>разработка проектов нормативных правовых актов Чувашской Республики по направлениям деятельности Министерства, которые приводят или могут привести к недопущению, ограничению, устранению конкуренции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8B" w:rsidRPr="0075328B" w:rsidRDefault="0075328B">
            <w:pPr>
              <w:overflowPunct/>
              <w:jc w:val="both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75328B">
              <w:rPr>
                <w:rFonts w:eastAsiaTheme="minorHAnsi"/>
                <w:sz w:val="26"/>
                <w:szCs w:val="26"/>
                <w:lang w:eastAsia="en-US"/>
              </w:rPr>
              <w:t>нарушение порядка подготовки и согласования проекта нормативного правового акта Чувашской Республики; недостаточная подготовленность к процессу;</w:t>
            </w:r>
          </w:p>
          <w:p w:rsidR="0075328B" w:rsidRPr="0075328B" w:rsidRDefault="0075328B">
            <w:pPr>
              <w:overflowPunct/>
              <w:jc w:val="both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75328B">
              <w:rPr>
                <w:rFonts w:eastAsiaTheme="minorHAnsi"/>
                <w:sz w:val="26"/>
                <w:szCs w:val="26"/>
                <w:lang w:eastAsia="en-US"/>
              </w:rPr>
              <w:t>отсутствие достаточной квалификации сотрудников</w:t>
            </w:r>
          </w:p>
        </w:tc>
      </w:tr>
      <w:tr w:rsidR="0075328B" w:rsidRPr="0075328B" w:rsidTr="0075328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8B" w:rsidRPr="0075328B" w:rsidRDefault="0075328B">
            <w:pPr>
              <w:overflowPunct/>
              <w:jc w:val="both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75328B">
              <w:rPr>
                <w:rFonts w:eastAsiaTheme="minorHAnsi"/>
                <w:sz w:val="26"/>
                <w:szCs w:val="26"/>
                <w:lang w:eastAsia="en-US"/>
              </w:rPr>
              <w:t>низкий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8B" w:rsidRPr="0075328B" w:rsidRDefault="0075328B">
            <w:pPr>
              <w:overflowPunct/>
              <w:jc w:val="both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75328B">
              <w:rPr>
                <w:rFonts w:eastAsiaTheme="minorHAnsi"/>
                <w:sz w:val="26"/>
                <w:szCs w:val="26"/>
                <w:lang w:eastAsia="en-US"/>
              </w:rPr>
              <w:t>отрицательное влияние на отношение институтов гражданского общества к деятельности Министерства, вероятность выдачи предупреждения, возбуждения дела о нарушении антимонопольного законодательства, наложения штрафа отсутствует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8B" w:rsidRPr="0075328B" w:rsidRDefault="0075328B">
            <w:pPr>
              <w:overflowPunct/>
              <w:jc w:val="both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75328B">
              <w:rPr>
                <w:rFonts w:eastAsiaTheme="minorHAnsi"/>
                <w:sz w:val="26"/>
                <w:szCs w:val="26"/>
                <w:lang w:eastAsia="en-US"/>
              </w:rPr>
              <w:t>разработка ведомственных нормативных правовых актов Министерства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8B" w:rsidRPr="0075328B" w:rsidRDefault="0075328B">
            <w:pPr>
              <w:overflowPunct/>
              <w:jc w:val="both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75328B">
              <w:rPr>
                <w:rFonts w:eastAsiaTheme="minorHAnsi"/>
                <w:sz w:val="26"/>
                <w:szCs w:val="26"/>
                <w:lang w:eastAsia="en-US"/>
              </w:rPr>
              <w:t>нарушение порядка подготовки и согласования ведомственного нормативного правового акта Министерства; недостаточная подготовленность к процессу; отсутствие достаточной квалификации сотрудников</w:t>
            </w:r>
          </w:p>
        </w:tc>
      </w:tr>
      <w:tr w:rsidR="0075328B" w:rsidRPr="0075328B" w:rsidTr="0075328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8B" w:rsidRPr="0075328B" w:rsidRDefault="0075328B">
            <w:pPr>
              <w:overflowPunct/>
              <w:jc w:val="both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75328B">
              <w:rPr>
                <w:rFonts w:eastAsiaTheme="minorHAnsi"/>
                <w:sz w:val="26"/>
                <w:szCs w:val="26"/>
                <w:lang w:eastAsia="en-US"/>
              </w:rPr>
              <w:t>незначительный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8B" w:rsidRPr="0075328B" w:rsidRDefault="0075328B">
            <w:pPr>
              <w:overflowPunct/>
              <w:jc w:val="both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75328B">
              <w:rPr>
                <w:rFonts w:eastAsiaTheme="minorHAnsi"/>
                <w:sz w:val="26"/>
                <w:szCs w:val="26"/>
                <w:lang w:eastAsia="en-US"/>
              </w:rPr>
              <w:t>вероятность выдачи Министерству предупреждения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8B" w:rsidRPr="0075328B" w:rsidRDefault="0075328B">
            <w:pPr>
              <w:overflowPunct/>
              <w:jc w:val="both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75328B">
              <w:rPr>
                <w:rFonts w:eastAsiaTheme="minorHAnsi"/>
                <w:sz w:val="26"/>
                <w:szCs w:val="26"/>
                <w:lang w:eastAsia="en-US"/>
              </w:rPr>
              <w:t>отсутствие информации на официальном сайте Министерства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8B" w:rsidRPr="0075328B" w:rsidRDefault="0075328B">
            <w:pPr>
              <w:overflowPunct/>
              <w:jc w:val="both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75328B">
              <w:rPr>
                <w:rFonts w:eastAsiaTheme="minorHAnsi"/>
                <w:sz w:val="26"/>
                <w:szCs w:val="26"/>
                <w:lang w:eastAsia="en-US"/>
              </w:rPr>
              <w:t>отсутствие контроля со стороны ответственных лиц по размещению информации на официальном сайте Министерства</w:t>
            </w:r>
          </w:p>
        </w:tc>
      </w:tr>
      <w:tr w:rsidR="0075328B" w:rsidRPr="0075328B" w:rsidTr="0075328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8B" w:rsidRPr="0075328B" w:rsidRDefault="0075328B">
            <w:pPr>
              <w:overflowPunct/>
              <w:jc w:val="both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75328B">
              <w:rPr>
                <w:rFonts w:eastAsiaTheme="minorHAnsi"/>
                <w:sz w:val="26"/>
                <w:szCs w:val="26"/>
                <w:lang w:eastAsia="en-US"/>
              </w:rPr>
              <w:t>существенный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8B" w:rsidRPr="0075328B" w:rsidRDefault="0075328B">
            <w:pPr>
              <w:overflowPunct/>
              <w:jc w:val="both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75328B">
              <w:rPr>
                <w:rFonts w:eastAsiaTheme="minorHAnsi"/>
                <w:sz w:val="26"/>
                <w:szCs w:val="26"/>
                <w:lang w:eastAsia="en-US"/>
              </w:rPr>
              <w:t>вероятность выдачи Министерству предупреждения и возбуждения в отношении него дела о нарушении антимонопольного законодательства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8B" w:rsidRPr="0075328B" w:rsidRDefault="0075328B">
            <w:pPr>
              <w:overflowPunct/>
              <w:jc w:val="both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75328B">
              <w:rPr>
                <w:rFonts w:eastAsiaTheme="minorHAnsi"/>
                <w:sz w:val="26"/>
                <w:szCs w:val="26"/>
                <w:lang w:eastAsia="en-US"/>
              </w:rPr>
              <w:t>предоставление услуг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8B" w:rsidRPr="0075328B" w:rsidRDefault="0075328B">
            <w:pPr>
              <w:overflowPunct/>
              <w:jc w:val="both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75328B">
              <w:rPr>
                <w:rFonts w:eastAsiaTheme="minorHAnsi"/>
                <w:sz w:val="26"/>
                <w:szCs w:val="26"/>
                <w:lang w:eastAsia="en-US"/>
              </w:rPr>
              <w:t>отсутствие административного регламента по предоставлению услуги либо необходимость внесения изменений в действующие административные регламенты в связи с изменением законодательства; отсутствие согласования проекта с Управлением Федеральной антимонопольной службы по Чувашской Республике - Чувашии, в случаях которые приводят или могут привести к недопущению, ограничению, устранению конкуренции</w:t>
            </w:r>
          </w:p>
        </w:tc>
      </w:tr>
      <w:tr w:rsidR="0075328B" w:rsidRPr="0075328B" w:rsidTr="0075328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8B" w:rsidRPr="0075328B" w:rsidRDefault="0075328B">
            <w:pPr>
              <w:overflowPunct/>
              <w:jc w:val="both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75328B">
              <w:rPr>
                <w:rFonts w:eastAsiaTheme="minorHAnsi"/>
                <w:sz w:val="26"/>
                <w:szCs w:val="26"/>
                <w:lang w:eastAsia="en-US"/>
              </w:rPr>
              <w:t>существенный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8B" w:rsidRPr="0075328B" w:rsidRDefault="0075328B">
            <w:pPr>
              <w:overflowPunct/>
              <w:jc w:val="both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75328B">
              <w:rPr>
                <w:rFonts w:eastAsiaTheme="minorHAnsi"/>
                <w:sz w:val="26"/>
                <w:szCs w:val="26"/>
                <w:lang w:eastAsia="en-US"/>
              </w:rPr>
              <w:t>вероятность выдачи Министерству предупреждения и возбуждения в отношении него дела о нарушении антимонопольного законодательства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8B" w:rsidRPr="0075328B" w:rsidRDefault="0075328B">
            <w:pPr>
              <w:overflowPunct/>
              <w:jc w:val="both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75328B">
              <w:rPr>
                <w:rFonts w:eastAsiaTheme="minorHAnsi"/>
                <w:sz w:val="26"/>
                <w:szCs w:val="26"/>
                <w:lang w:eastAsia="en-US"/>
              </w:rPr>
              <w:t>принятие нормативных правовых актов Чувашской Республики по направлениям деятельности Министерства, которые приводят или могут привести к недопущению, ограничению, устранению конкуренции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8B" w:rsidRPr="0075328B" w:rsidRDefault="0075328B">
            <w:pPr>
              <w:overflowPunct/>
              <w:jc w:val="both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75328B">
              <w:rPr>
                <w:rFonts w:eastAsiaTheme="minorHAnsi"/>
                <w:sz w:val="26"/>
                <w:szCs w:val="26"/>
                <w:lang w:eastAsia="en-US"/>
              </w:rPr>
              <w:t>нарушение порядка подготовки и согласования проекта нормативного правового акта Чувашской Республики;</w:t>
            </w:r>
          </w:p>
          <w:p w:rsidR="0075328B" w:rsidRPr="0075328B" w:rsidRDefault="0075328B">
            <w:pPr>
              <w:overflowPunct/>
              <w:jc w:val="both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75328B">
              <w:rPr>
                <w:rFonts w:eastAsiaTheme="minorHAnsi"/>
                <w:sz w:val="26"/>
                <w:szCs w:val="26"/>
                <w:lang w:eastAsia="en-US"/>
              </w:rPr>
              <w:t>отсутствие согласования проекта с Управлением Федеральной антимонопольной службы по Чувашской Республике - Чувашии, в случаях которые приводят или могут привести к недопущению, ограничению, устранению конкуренции; отсутствие достаточной квалификации сотрудников</w:t>
            </w:r>
          </w:p>
        </w:tc>
      </w:tr>
      <w:tr w:rsidR="0075328B" w:rsidRPr="0075328B" w:rsidTr="0075328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8B" w:rsidRPr="0075328B" w:rsidRDefault="0075328B">
            <w:pPr>
              <w:overflowPunct/>
              <w:jc w:val="both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75328B">
              <w:rPr>
                <w:rFonts w:eastAsiaTheme="minorHAnsi"/>
                <w:sz w:val="26"/>
                <w:szCs w:val="26"/>
                <w:lang w:eastAsia="en-US"/>
              </w:rPr>
              <w:t>высокий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8B" w:rsidRPr="0075328B" w:rsidRDefault="0075328B">
            <w:pPr>
              <w:overflowPunct/>
              <w:jc w:val="both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75328B">
              <w:rPr>
                <w:rFonts w:eastAsiaTheme="minorHAnsi"/>
                <w:sz w:val="26"/>
                <w:szCs w:val="26"/>
                <w:lang w:eastAsia="en-US"/>
              </w:rPr>
              <w:t>вероятность выдачи Министерству предупреждения, возбуждения в отношении него дела о нарушении антимонопольного законодательства и привлечения его к административной ответственности (штраф, дисквалификация)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8B" w:rsidRPr="0075328B" w:rsidRDefault="0075328B">
            <w:pPr>
              <w:overflowPunct/>
              <w:jc w:val="both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75328B">
              <w:rPr>
                <w:rFonts w:eastAsiaTheme="minorHAnsi"/>
                <w:sz w:val="26"/>
                <w:szCs w:val="26"/>
                <w:lang w:eastAsia="en-US"/>
              </w:rPr>
              <w:t>нарушения при осуществлении закупок товаров, работ, услуг для обеспечения государственных нужд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8B" w:rsidRPr="0075328B" w:rsidRDefault="0075328B">
            <w:pPr>
              <w:overflowPunct/>
              <w:jc w:val="both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75328B">
              <w:rPr>
                <w:rFonts w:eastAsiaTheme="minorHAnsi"/>
                <w:sz w:val="26"/>
                <w:szCs w:val="26"/>
                <w:lang w:eastAsia="en-US"/>
              </w:rPr>
              <w:t>отсутствие достаточной квалификации сотрудников; высокая нагрузка на сотрудников;</w:t>
            </w:r>
          </w:p>
          <w:p w:rsidR="0075328B" w:rsidRPr="0075328B" w:rsidRDefault="0075328B">
            <w:pPr>
              <w:overflowPunct/>
              <w:jc w:val="both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75328B">
              <w:rPr>
                <w:rFonts w:eastAsiaTheme="minorHAnsi"/>
                <w:sz w:val="26"/>
                <w:szCs w:val="26"/>
                <w:lang w:eastAsia="en-US"/>
              </w:rPr>
              <w:t>несоблюдение требований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</w:tbl>
    <w:p w:rsidR="0075328B" w:rsidRPr="0075328B" w:rsidRDefault="0075328B" w:rsidP="0075328B">
      <w:pPr>
        <w:overflowPunct/>
        <w:jc w:val="both"/>
        <w:textAlignment w:val="auto"/>
        <w:rPr>
          <w:rFonts w:ascii="Arial" w:eastAsiaTheme="minorHAnsi" w:hAnsi="Arial" w:cs="Arial"/>
          <w:sz w:val="26"/>
          <w:szCs w:val="26"/>
          <w:lang w:eastAsia="en-US"/>
        </w:rPr>
      </w:pPr>
    </w:p>
    <w:p w:rsidR="0075328B" w:rsidRPr="0075328B" w:rsidRDefault="0075328B" w:rsidP="0075328B">
      <w:pPr>
        <w:overflowPunct/>
        <w:jc w:val="both"/>
        <w:textAlignment w:val="auto"/>
        <w:rPr>
          <w:rFonts w:ascii="Arial" w:eastAsiaTheme="minorHAnsi" w:hAnsi="Arial" w:cs="Arial"/>
          <w:sz w:val="26"/>
          <w:szCs w:val="26"/>
          <w:lang w:eastAsia="en-US"/>
        </w:rPr>
      </w:pPr>
    </w:p>
    <w:p w:rsidR="0075328B" w:rsidRDefault="0075328B" w:rsidP="0075328B">
      <w:pPr>
        <w:ind w:firstLine="709"/>
        <w:jc w:val="center"/>
        <w:rPr>
          <w:rFonts w:eastAsia="Calibri"/>
          <w:sz w:val="26"/>
          <w:szCs w:val="26"/>
          <w:lang w:eastAsia="en-US"/>
        </w:rPr>
      </w:pPr>
    </w:p>
    <w:p w:rsidR="009B4F37" w:rsidRDefault="009B4F37" w:rsidP="0075328B">
      <w:pPr>
        <w:ind w:firstLine="709"/>
        <w:jc w:val="center"/>
        <w:rPr>
          <w:rFonts w:eastAsia="Calibri"/>
          <w:sz w:val="26"/>
          <w:szCs w:val="26"/>
          <w:lang w:eastAsia="en-US"/>
        </w:rPr>
      </w:pPr>
    </w:p>
    <w:p w:rsidR="009B4F37" w:rsidRDefault="009B4F37" w:rsidP="0075328B">
      <w:pPr>
        <w:ind w:firstLine="709"/>
        <w:jc w:val="center"/>
        <w:rPr>
          <w:rFonts w:eastAsia="Calibri"/>
          <w:sz w:val="26"/>
          <w:szCs w:val="26"/>
          <w:lang w:eastAsia="en-US"/>
        </w:rPr>
      </w:pPr>
    </w:p>
    <w:p w:rsidR="009B4F37" w:rsidRDefault="009B4F37" w:rsidP="0075328B">
      <w:pPr>
        <w:ind w:firstLine="709"/>
        <w:jc w:val="center"/>
        <w:rPr>
          <w:rFonts w:eastAsia="Calibri"/>
          <w:sz w:val="26"/>
          <w:szCs w:val="26"/>
          <w:lang w:eastAsia="en-US"/>
        </w:rPr>
      </w:pPr>
    </w:p>
    <w:p w:rsidR="009B4F37" w:rsidRDefault="009B4F37" w:rsidP="0075328B">
      <w:pPr>
        <w:ind w:firstLine="709"/>
        <w:jc w:val="center"/>
        <w:rPr>
          <w:rFonts w:eastAsia="Calibri"/>
          <w:sz w:val="26"/>
          <w:szCs w:val="26"/>
          <w:lang w:eastAsia="en-US"/>
        </w:rPr>
      </w:pPr>
    </w:p>
    <w:p w:rsidR="009B4F37" w:rsidRDefault="009B4F37" w:rsidP="0075328B">
      <w:pPr>
        <w:ind w:firstLine="709"/>
        <w:jc w:val="center"/>
        <w:rPr>
          <w:rFonts w:eastAsia="Calibri"/>
          <w:sz w:val="26"/>
          <w:szCs w:val="26"/>
          <w:lang w:eastAsia="en-US"/>
        </w:rPr>
      </w:pPr>
    </w:p>
    <w:p w:rsidR="009B4F37" w:rsidRDefault="009B4F37" w:rsidP="0075328B">
      <w:pPr>
        <w:ind w:firstLine="709"/>
        <w:jc w:val="center"/>
        <w:rPr>
          <w:rFonts w:eastAsia="Calibri"/>
          <w:sz w:val="26"/>
          <w:szCs w:val="26"/>
          <w:lang w:eastAsia="en-US"/>
        </w:rPr>
      </w:pPr>
    </w:p>
    <w:p w:rsidR="009B4F37" w:rsidRDefault="009B4F37" w:rsidP="0075328B">
      <w:pPr>
        <w:ind w:firstLine="709"/>
        <w:jc w:val="center"/>
        <w:rPr>
          <w:rFonts w:eastAsia="Calibri"/>
          <w:sz w:val="26"/>
          <w:szCs w:val="26"/>
          <w:lang w:eastAsia="en-US"/>
        </w:rPr>
      </w:pPr>
    </w:p>
    <w:p w:rsidR="009B4F37" w:rsidRDefault="009B4F37" w:rsidP="0075328B">
      <w:pPr>
        <w:ind w:firstLine="709"/>
        <w:jc w:val="center"/>
        <w:rPr>
          <w:rFonts w:eastAsia="Calibri"/>
          <w:sz w:val="26"/>
          <w:szCs w:val="26"/>
          <w:lang w:eastAsia="en-US"/>
        </w:rPr>
      </w:pPr>
    </w:p>
    <w:p w:rsidR="009B4F37" w:rsidRDefault="009B4F37" w:rsidP="0075328B">
      <w:pPr>
        <w:ind w:firstLine="709"/>
        <w:jc w:val="center"/>
        <w:rPr>
          <w:rFonts w:eastAsia="Calibri"/>
          <w:sz w:val="26"/>
          <w:szCs w:val="26"/>
          <w:lang w:eastAsia="en-US"/>
        </w:rPr>
      </w:pPr>
    </w:p>
    <w:p w:rsidR="009B4F37" w:rsidRDefault="009B4F37" w:rsidP="0075328B">
      <w:pPr>
        <w:ind w:firstLine="709"/>
        <w:jc w:val="center"/>
        <w:rPr>
          <w:rFonts w:eastAsia="Calibri"/>
          <w:sz w:val="26"/>
          <w:szCs w:val="26"/>
          <w:lang w:eastAsia="en-US"/>
        </w:rPr>
      </w:pPr>
    </w:p>
    <w:p w:rsidR="009B4F37" w:rsidRDefault="009B4F37" w:rsidP="0075328B">
      <w:pPr>
        <w:ind w:firstLine="709"/>
        <w:jc w:val="center"/>
        <w:rPr>
          <w:rFonts w:eastAsia="Calibri"/>
          <w:sz w:val="26"/>
          <w:szCs w:val="26"/>
          <w:lang w:eastAsia="en-US"/>
        </w:rPr>
      </w:pPr>
    </w:p>
    <w:p w:rsidR="009B4F37" w:rsidRDefault="009B4F37" w:rsidP="0075328B">
      <w:pPr>
        <w:ind w:firstLine="709"/>
        <w:jc w:val="center"/>
        <w:rPr>
          <w:rFonts w:eastAsia="Calibri"/>
          <w:sz w:val="26"/>
          <w:szCs w:val="26"/>
          <w:lang w:eastAsia="en-US"/>
        </w:rPr>
      </w:pPr>
    </w:p>
    <w:p w:rsidR="009B4F37" w:rsidRDefault="009B4F37" w:rsidP="0075328B">
      <w:pPr>
        <w:ind w:firstLine="709"/>
        <w:jc w:val="center"/>
        <w:rPr>
          <w:rFonts w:eastAsia="Calibri"/>
          <w:sz w:val="26"/>
          <w:szCs w:val="26"/>
          <w:lang w:eastAsia="en-US"/>
        </w:rPr>
      </w:pPr>
    </w:p>
    <w:p w:rsidR="009B4F37" w:rsidRDefault="009B4F37" w:rsidP="0075328B">
      <w:pPr>
        <w:ind w:firstLine="709"/>
        <w:jc w:val="center"/>
        <w:rPr>
          <w:rFonts w:eastAsia="Calibri"/>
          <w:sz w:val="26"/>
          <w:szCs w:val="26"/>
          <w:lang w:eastAsia="en-US"/>
        </w:rPr>
      </w:pPr>
    </w:p>
    <w:p w:rsidR="009B4F37" w:rsidRDefault="009B4F37" w:rsidP="0075328B">
      <w:pPr>
        <w:ind w:firstLine="709"/>
        <w:jc w:val="center"/>
        <w:rPr>
          <w:rFonts w:eastAsia="Calibri"/>
          <w:sz w:val="26"/>
          <w:szCs w:val="26"/>
          <w:lang w:eastAsia="en-US"/>
        </w:rPr>
      </w:pPr>
    </w:p>
    <w:p w:rsidR="009B4F37" w:rsidRDefault="009B4F37" w:rsidP="0075328B">
      <w:pPr>
        <w:ind w:firstLine="709"/>
        <w:jc w:val="center"/>
        <w:rPr>
          <w:rFonts w:eastAsia="Calibri"/>
          <w:sz w:val="26"/>
          <w:szCs w:val="26"/>
          <w:lang w:eastAsia="en-US"/>
        </w:rPr>
      </w:pPr>
    </w:p>
    <w:p w:rsidR="009B4F37" w:rsidRDefault="009B4F37" w:rsidP="0075328B">
      <w:pPr>
        <w:ind w:firstLine="709"/>
        <w:jc w:val="center"/>
        <w:rPr>
          <w:rFonts w:eastAsia="Calibri"/>
          <w:sz w:val="26"/>
          <w:szCs w:val="26"/>
          <w:lang w:eastAsia="en-US"/>
        </w:rPr>
      </w:pPr>
    </w:p>
    <w:p w:rsidR="009B4F37" w:rsidRDefault="009B4F37" w:rsidP="0075328B">
      <w:pPr>
        <w:ind w:firstLine="709"/>
        <w:jc w:val="center"/>
        <w:rPr>
          <w:rFonts w:eastAsia="Calibri"/>
          <w:sz w:val="26"/>
          <w:szCs w:val="26"/>
          <w:lang w:eastAsia="en-US"/>
        </w:rPr>
      </w:pPr>
    </w:p>
    <w:p w:rsidR="009B4F37" w:rsidRDefault="009B4F37" w:rsidP="0075328B">
      <w:pPr>
        <w:ind w:firstLine="709"/>
        <w:jc w:val="center"/>
        <w:rPr>
          <w:rFonts w:eastAsia="Calibri"/>
          <w:sz w:val="26"/>
          <w:szCs w:val="26"/>
          <w:lang w:eastAsia="en-US"/>
        </w:rPr>
      </w:pPr>
    </w:p>
    <w:p w:rsidR="009B4F37" w:rsidRDefault="009B4F37" w:rsidP="0075328B">
      <w:pPr>
        <w:ind w:firstLine="709"/>
        <w:jc w:val="center"/>
        <w:rPr>
          <w:rFonts w:eastAsia="Calibri"/>
          <w:sz w:val="26"/>
          <w:szCs w:val="26"/>
          <w:lang w:eastAsia="en-US"/>
        </w:rPr>
      </w:pPr>
    </w:p>
    <w:p w:rsidR="009B4F37" w:rsidRDefault="009B4F37" w:rsidP="0075328B">
      <w:pPr>
        <w:ind w:firstLine="709"/>
        <w:jc w:val="center"/>
        <w:rPr>
          <w:rFonts w:eastAsia="Calibri"/>
          <w:sz w:val="26"/>
          <w:szCs w:val="26"/>
          <w:lang w:eastAsia="en-US"/>
        </w:rPr>
      </w:pPr>
    </w:p>
    <w:p w:rsidR="009B4F37" w:rsidRDefault="009B4F37" w:rsidP="0075328B">
      <w:pPr>
        <w:ind w:firstLine="709"/>
        <w:jc w:val="center"/>
        <w:rPr>
          <w:rFonts w:eastAsia="Calibri"/>
          <w:sz w:val="26"/>
          <w:szCs w:val="26"/>
          <w:lang w:eastAsia="en-US"/>
        </w:rPr>
      </w:pPr>
    </w:p>
    <w:p w:rsidR="009B4F37" w:rsidRDefault="009B4F37" w:rsidP="0075328B">
      <w:pPr>
        <w:ind w:firstLine="709"/>
        <w:jc w:val="center"/>
        <w:rPr>
          <w:rFonts w:eastAsia="Calibri"/>
          <w:sz w:val="26"/>
          <w:szCs w:val="26"/>
          <w:lang w:eastAsia="en-US"/>
        </w:rPr>
      </w:pPr>
    </w:p>
    <w:p w:rsidR="009B4F37" w:rsidRDefault="009B4F37" w:rsidP="0075328B">
      <w:pPr>
        <w:ind w:firstLine="709"/>
        <w:jc w:val="center"/>
        <w:rPr>
          <w:rFonts w:eastAsia="Calibri"/>
          <w:sz w:val="26"/>
          <w:szCs w:val="26"/>
          <w:lang w:eastAsia="en-US"/>
        </w:rPr>
      </w:pPr>
    </w:p>
    <w:p w:rsidR="009B4F37" w:rsidRDefault="009B4F37" w:rsidP="0075328B">
      <w:pPr>
        <w:ind w:firstLine="709"/>
        <w:jc w:val="center"/>
        <w:rPr>
          <w:rFonts w:eastAsia="Calibri"/>
          <w:sz w:val="26"/>
          <w:szCs w:val="26"/>
          <w:lang w:eastAsia="en-US"/>
        </w:rPr>
      </w:pPr>
    </w:p>
    <w:p w:rsidR="009B4F37" w:rsidRDefault="009B4F37" w:rsidP="0075328B">
      <w:pPr>
        <w:ind w:firstLine="709"/>
        <w:jc w:val="center"/>
        <w:rPr>
          <w:rFonts w:eastAsia="Calibri"/>
          <w:sz w:val="26"/>
          <w:szCs w:val="26"/>
          <w:lang w:eastAsia="en-US"/>
        </w:rPr>
      </w:pPr>
    </w:p>
    <w:p w:rsidR="009B4F37" w:rsidRDefault="009B4F37" w:rsidP="0075328B">
      <w:pPr>
        <w:ind w:firstLine="709"/>
        <w:jc w:val="center"/>
        <w:rPr>
          <w:rFonts w:eastAsia="Calibri"/>
          <w:sz w:val="26"/>
          <w:szCs w:val="26"/>
          <w:lang w:eastAsia="en-US"/>
        </w:rPr>
      </w:pPr>
    </w:p>
    <w:p w:rsidR="009B4F37" w:rsidRDefault="009B4F37" w:rsidP="0075328B">
      <w:pPr>
        <w:ind w:firstLine="709"/>
        <w:jc w:val="center"/>
        <w:rPr>
          <w:rFonts w:eastAsia="Calibri"/>
          <w:sz w:val="26"/>
          <w:szCs w:val="26"/>
          <w:lang w:eastAsia="en-US"/>
        </w:rPr>
      </w:pPr>
    </w:p>
    <w:p w:rsidR="009B4F37" w:rsidRDefault="009B4F37" w:rsidP="0075328B">
      <w:pPr>
        <w:ind w:firstLine="709"/>
        <w:jc w:val="center"/>
        <w:rPr>
          <w:rFonts w:eastAsia="Calibri"/>
          <w:sz w:val="26"/>
          <w:szCs w:val="26"/>
          <w:lang w:eastAsia="en-US"/>
        </w:rPr>
      </w:pPr>
    </w:p>
    <w:p w:rsidR="009B4F37" w:rsidRDefault="009B4F37" w:rsidP="0075328B">
      <w:pPr>
        <w:ind w:firstLine="709"/>
        <w:jc w:val="center"/>
        <w:rPr>
          <w:rFonts w:eastAsia="Calibri"/>
          <w:sz w:val="26"/>
          <w:szCs w:val="26"/>
          <w:lang w:eastAsia="en-US"/>
        </w:rPr>
      </w:pPr>
    </w:p>
    <w:p w:rsidR="009B4F37" w:rsidRDefault="009B4F37" w:rsidP="0075328B">
      <w:pPr>
        <w:ind w:firstLine="709"/>
        <w:jc w:val="center"/>
        <w:rPr>
          <w:rFonts w:eastAsia="Calibri"/>
          <w:sz w:val="26"/>
          <w:szCs w:val="26"/>
          <w:lang w:eastAsia="en-US"/>
        </w:rPr>
      </w:pPr>
    </w:p>
    <w:p w:rsidR="00DD7A2F" w:rsidRDefault="00DD7A2F" w:rsidP="0075328B">
      <w:pPr>
        <w:ind w:firstLine="709"/>
        <w:jc w:val="center"/>
        <w:rPr>
          <w:rFonts w:eastAsia="Calibri"/>
          <w:sz w:val="26"/>
          <w:szCs w:val="26"/>
          <w:lang w:eastAsia="en-US"/>
        </w:rPr>
      </w:pPr>
    </w:p>
    <w:p w:rsidR="009B4F37" w:rsidRPr="0065660A" w:rsidRDefault="009B4F37" w:rsidP="009B4F37">
      <w:pPr>
        <w:ind w:left="5103"/>
        <w:jc w:val="center"/>
        <w:rPr>
          <w:sz w:val="26"/>
          <w:szCs w:val="26"/>
          <w:lang w:eastAsia="en-US"/>
        </w:rPr>
      </w:pPr>
      <w:r w:rsidRPr="0065660A">
        <w:rPr>
          <w:sz w:val="26"/>
          <w:szCs w:val="26"/>
          <w:lang w:eastAsia="en-US"/>
        </w:rPr>
        <w:t>Утвержден</w:t>
      </w:r>
    </w:p>
    <w:p w:rsidR="009B4F37" w:rsidRPr="0065660A" w:rsidRDefault="009B4F37" w:rsidP="009B4F37">
      <w:pPr>
        <w:ind w:left="5103"/>
        <w:jc w:val="center"/>
        <w:rPr>
          <w:sz w:val="26"/>
          <w:szCs w:val="26"/>
          <w:lang w:eastAsia="en-US"/>
        </w:rPr>
      </w:pPr>
      <w:r w:rsidRPr="0065660A">
        <w:rPr>
          <w:sz w:val="26"/>
          <w:szCs w:val="26"/>
          <w:lang w:eastAsia="en-US"/>
        </w:rPr>
        <w:t>приказом Мининформполитики Чувашии от _____________  № _____</w:t>
      </w:r>
    </w:p>
    <w:p w:rsidR="009B4F37" w:rsidRPr="0065660A" w:rsidRDefault="009B4F37" w:rsidP="009B4F37">
      <w:pPr>
        <w:ind w:left="5103"/>
        <w:jc w:val="center"/>
        <w:rPr>
          <w:sz w:val="26"/>
          <w:szCs w:val="26"/>
          <w:lang w:eastAsia="en-US"/>
        </w:rPr>
      </w:pPr>
      <w:r w:rsidRPr="0065660A">
        <w:rPr>
          <w:sz w:val="26"/>
          <w:szCs w:val="26"/>
          <w:lang w:eastAsia="en-US"/>
        </w:rPr>
        <w:t xml:space="preserve">(Приложение № </w:t>
      </w:r>
      <w:r>
        <w:rPr>
          <w:sz w:val="26"/>
          <w:szCs w:val="26"/>
          <w:lang w:eastAsia="en-US"/>
        </w:rPr>
        <w:t>4</w:t>
      </w:r>
      <w:r w:rsidRPr="0065660A">
        <w:rPr>
          <w:sz w:val="26"/>
          <w:szCs w:val="26"/>
          <w:lang w:eastAsia="en-US"/>
        </w:rPr>
        <w:t>)</w:t>
      </w:r>
    </w:p>
    <w:p w:rsidR="009B4F37" w:rsidRDefault="009B4F37" w:rsidP="0075328B">
      <w:pPr>
        <w:ind w:firstLine="709"/>
        <w:jc w:val="center"/>
        <w:rPr>
          <w:rFonts w:eastAsia="Calibri"/>
          <w:sz w:val="26"/>
          <w:szCs w:val="26"/>
          <w:lang w:eastAsia="en-US"/>
        </w:rPr>
      </w:pPr>
    </w:p>
    <w:p w:rsidR="009B4F37" w:rsidRDefault="0008732D" w:rsidP="0075328B">
      <w:pPr>
        <w:ind w:firstLine="709"/>
        <w:jc w:val="center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>План мероприятий («дорожная</w:t>
      </w:r>
      <w:r w:rsidR="003612D2" w:rsidRPr="001F65D3">
        <w:rPr>
          <w:sz w:val="26"/>
          <w:szCs w:val="26"/>
          <w:lang w:bidi="ru-RU"/>
        </w:rPr>
        <w:t xml:space="preserve"> карт</w:t>
      </w:r>
      <w:r>
        <w:rPr>
          <w:sz w:val="26"/>
          <w:szCs w:val="26"/>
          <w:lang w:bidi="ru-RU"/>
        </w:rPr>
        <w:t>а</w:t>
      </w:r>
      <w:r w:rsidR="003612D2" w:rsidRPr="001F65D3">
        <w:rPr>
          <w:sz w:val="26"/>
          <w:szCs w:val="26"/>
          <w:lang w:bidi="ru-RU"/>
        </w:rPr>
        <w:t>») по снижению рисков нарушения анти</w:t>
      </w:r>
      <w:r w:rsidR="003612D2">
        <w:rPr>
          <w:sz w:val="26"/>
          <w:szCs w:val="26"/>
          <w:lang w:bidi="ru-RU"/>
        </w:rPr>
        <w:t>монопольного законодательства в</w:t>
      </w:r>
      <w:r w:rsidR="003612D2" w:rsidRPr="0065660A">
        <w:rPr>
          <w:rFonts w:eastAsia="Calibri"/>
          <w:sz w:val="26"/>
          <w:szCs w:val="26"/>
          <w:lang w:eastAsia="en-US"/>
        </w:rPr>
        <w:t xml:space="preserve"> Министерстве цифрового развития, информационной политики и </w:t>
      </w:r>
      <w:r w:rsidR="003612D2" w:rsidRPr="001F65D3">
        <w:rPr>
          <w:rFonts w:eastAsia="Calibri"/>
          <w:sz w:val="26"/>
          <w:szCs w:val="26"/>
          <w:lang w:eastAsia="en-US"/>
        </w:rPr>
        <w:t>массовых коммуникаций Чувашской Республики</w:t>
      </w:r>
      <w:r w:rsidR="003612D2" w:rsidRPr="001F65D3">
        <w:rPr>
          <w:sz w:val="26"/>
          <w:szCs w:val="26"/>
          <w:lang w:bidi="ru-RU"/>
        </w:rPr>
        <w:t xml:space="preserve"> на 2019 год</w:t>
      </w:r>
    </w:p>
    <w:p w:rsidR="0008732D" w:rsidRDefault="0008732D" w:rsidP="0008732D">
      <w:pPr>
        <w:overflowPunct/>
        <w:jc w:val="both"/>
        <w:textAlignment w:val="auto"/>
        <w:rPr>
          <w:rFonts w:eastAsiaTheme="minorHAnsi"/>
          <w:sz w:val="26"/>
          <w:szCs w:val="26"/>
          <w:lang w:eastAsia="en-US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928"/>
        <w:gridCol w:w="1531"/>
        <w:gridCol w:w="1701"/>
        <w:gridCol w:w="3946"/>
      </w:tblGrid>
      <w:tr w:rsidR="0008732D" w:rsidTr="007D169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2D" w:rsidRDefault="0008732D">
            <w:pPr>
              <w:overflowPunct/>
              <w:jc w:val="center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N</w:t>
            </w:r>
          </w:p>
          <w:p w:rsidR="0008732D" w:rsidRDefault="0008732D">
            <w:pPr>
              <w:overflowPunct/>
              <w:jc w:val="center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2D" w:rsidRDefault="0008732D">
            <w:pPr>
              <w:overflowPunct/>
              <w:jc w:val="center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Наименование мероприятия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2D" w:rsidRDefault="0008732D">
            <w:pPr>
              <w:overflowPunct/>
              <w:jc w:val="center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Срок исполнения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2D" w:rsidRDefault="0008732D">
            <w:pPr>
              <w:overflowPunct/>
              <w:jc w:val="center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Ответственное структурное подразделение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2D" w:rsidRDefault="0008732D">
            <w:pPr>
              <w:overflowPunct/>
              <w:jc w:val="center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Ожидаемый результат</w:t>
            </w:r>
          </w:p>
        </w:tc>
      </w:tr>
      <w:tr w:rsidR="0008732D" w:rsidTr="007D169A">
        <w:tc>
          <w:tcPr>
            <w:tcW w:w="9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2D" w:rsidRDefault="0008732D" w:rsidP="00594CDD">
            <w:pPr>
              <w:overflowPunct/>
              <w:jc w:val="center"/>
              <w:textAlignment w:val="auto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1. Выявление и оценка рисков нарушения Министерством</w:t>
            </w:r>
            <w:r w:rsidR="00594CDD" w:rsidRPr="0075328B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антимонопольного законодательства</w:t>
            </w:r>
          </w:p>
        </w:tc>
      </w:tr>
      <w:tr w:rsidR="0008732D" w:rsidTr="007D169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2D" w:rsidRDefault="0008732D" w:rsidP="007D169A">
            <w:pPr>
              <w:overflowPunct/>
              <w:jc w:val="both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2D" w:rsidRDefault="0008732D" w:rsidP="007068E9">
            <w:pPr>
              <w:overflowPunct/>
              <w:jc w:val="both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Анализ </w:t>
            </w:r>
            <w:r w:rsidR="0022499F">
              <w:rPr>
                <w:rFonts w:eastAsiaTheme="minorHAnsi"/>
                <w:sz w:val="26"/>
                <w:szCs w:val="26"/>
                <w:lang w:eastAsia="en-US"/>
              </w:rPr>
              <w:t>в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ыявленных нарушений антимонопольного законодательства в деятельности Министерства </w:t>
            </w:r>
            <w:r w:rsidR="00594CDD" w:rsidRPr="0065660A">
              <w:rPr>
                <w:rFonts w:eastAsia="Calibri"/>
                <w:sz w:val="26"/>
                <w:szCs w:val="26"/>
                <w:lang w:eastAsia="en-US"/>
              </w:rPr>
              <w:t xml:space="preserve">цифрового развития, информационной политики и </w:t>
            </w:r>
            <w:r w:rsidR="00594CDD" w:rsidRPr="001F65D3">
              <w:rPr>
                <w:rFonts w:eastAsia="Calibri"/>
                <w:sz w:val="26"/>
                <w:szCs w:val="26"/>
                <w:lang w:eastAsia="en-US"/>
              </w:rPr>
              <w:t>массовых коммуникаций Чувашской Республики</w:t>
            </w:r>
            <w:r w:rsidR="00594CDD">
              <w:rPr>
                <w:sz w:val="26"/>
                <w:szCs w:val="26"/>
                <w:lang w:bidi="ru-RU"/>
              </w:rPr>
              <w:t xml:space="preserve"> </w:t>
            </w:r>
            <w:r w:rsidR="00594CDD" w:rsidRPr="0075328B">
              <w:rPr>
                <w:rFonts w:eastAsiaTheme="minorHAnsi"/>
                <w:sz w:val="26"/>
                <w:szCs w:val="26"/>
                <w:lang w:eastAsia="en-US"/>
              </w:rPr>
              <w:t xml:space="preserve">(далее - Министерство) </w:t>
            </w:r>
            <w:r w:rsidR="00594CDD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за предыдущие 3 года (наличие предостережений, предупреждений, штрафов, жалоб, возбужденных дел)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2D" w:rsidRDefault="0008732D" w:rsidP="007D169A">
            <w:pPr>
              <w:overflowPunct/>
              <w:jc w:val="both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2D" w:rsidRDefault="0022499F" w:rsidP="007D169A">
            <w:pPr>
              <w:overflowPunct/>
              <w:jc w:val="both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финансово-экономический отдел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2D" w:rsidRDefault="0008732D" w:rsidP="007D169A">
            <w:pPr>
              <w:overflowPunct/>
              <w:jc w:val="both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составление перечня нарушений антимонопольного законодательства, классифицированных по сферам деятельности Министерства</w:t>
            </w:r>
          </w:p>
        </w:tc>
      </w:tr>
      <w:tr w:rsidR="0008732D" w:rsidTr="007D169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2D" w:rsidRDefault="0008732D" w:rsidP="007D169A">
            <w:pPr>
              <w:overflowPunct/>
              <w:jc w:val="both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2D" w:rsidRDefault="0008732D" w:rsidP="007D169A">
            <w:pPr>
              <w:overflowPunct/>
              <w:jc w:val="both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Анализ нормативных правовых актов Чувашской Республики, разработанных Министерством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2D" w:rsidRDefault="0008732D" w:rsidP="007D169A">
            <w:pPr>
              <w:overflowPunct/>
              <w:jc w:val="both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ежеквартально, не позднее 10 числа месяца, следующего за отчетным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2D" w:rsidRDefault="0022499F" w:rsidP="0022499F">
            <w:pPr>
              <w:overflowPunct/>
              <w:jc w:val="both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организационно-правовой </w:t>
            </w:r>
            <w:r w:rsidR="0008732D">
              <w:rPr>
                <w:rFonts w:eastAsiaTheme="minorHAnsi"/>
                <w:sz w:val="26"/>
                <w:szCs w:val="26"/>
                <w:lang w:eastAsia="en-US"/>
              </w:rPr>
              <w:t xml:space="preserve">отдел 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2D" w:rsidRDefault="0008732D" w:rsidP="007D169A">
            <w:pPr>
              <w:overflowPunct/>
              <w:jc w:val="both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разработка и размещение на официальном сайте Министерства исчерпывающего перечня указанных нормативных правовых актов (далее - перечень актов) с приложением к перечню актов текстов таких актов, за исключением актов, содержащих сведения, относящиеся к охраняемой законом тайне;</w:t>
            </w:r>
          </w:p>
          <w:p w:rsidR="0008732D" w:rsidRDefault="0008732D" w:rsidP="007D169A">
            <w:pPr>
              <w:overflowPunct/>
              <w:jc w:val="both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размещение на портале органов исполнительной власти Чувашской Республики уведомления о начале сбора замечаний и предложений организаций и граждан по перечню актов;</w:t>
            </w:r>
          </w:p>
          <w:p w:rsidR="0008732D" w:rsidRDefault="0008732D" w:rsidP="007D169A">
            <w:pPr>
              <w:overflowPunct/>
              <w:jc w:val="both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осуществление сбора и проведение анализа представленных замечаний и предложений организаций и граждан по перечню актов с привлечением структурных подразделений Министерства;</w:t>
            </w:r>
          </w:p>
          <w:p w:rsidR="0008732D" w:rsidRDefault="0008732D" w:rsidP="007D169A">
            <w:pPr>
              <w:overflowPunct/>
              <w:jc w:val="both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представление министру сводного доклада с обоснованием целесообразности (нецелесообразности) внесения изменений в нормативные правовые акты Министерства</w:t>
            </w:r>
          </w:p>
        </w:tc>
      </w:tr>
      <w:tr w:rsidR="0008732D" w:rsidTr="007D169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2D" w:rsidRDefault="0008732D" w:rsidP="007D169A">
            <w:pPr>
              <w:overflowPunct/>
              <w:jc w:val="both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2D" w:rsidRDefault="0008732D" w:rsidP="007D169A">
            <w:pPr>
              <w:overflowPunct/>
              <w:jc w:val="both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Анализ проектов нормативных правовых актов Чувашской Республики, разработанных Министерством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2D" w:rsidRDefault="0008732D" w:rsidP="007D169A">
            <w:pPr>
              <w:overflowPunct/>
              <w:jc w:val="both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ежеквартально, не позднее 10 числа месяца, следующего за отчетным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2D" w:rsidRDefault="0008732D" w:rsidP="0022499F">
            <w:pPr>
              <w:overflowPunct/>
              <w:jc w:val="both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ответственные исполнители структурных подразделений, участвующие в разработке </w:t>
            </w:r>
            <w:r w:rsidR="0022499F">
              <w:rPr>
                <w:rFonts w:eastAsiaTheme="minorHAnsi"/>
                <w:sz w:val="26"/>
                <w:szCs w:val="26"/>
                <w:lang w:eastAsia="en-US"/>
              </w:rPr>
              <w:t xml:space="preserve">проектов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правовых актов 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2D" w:rsidRDefault="0008732D" w:rsidP="007D169A">
            <w:pPr>
              <w:overflowPunct/>
              <w:jc w:val="both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размещение на официальном сайте Министерства уведомления о начале сбора замечаний и предложений организаций и граждан по перечню актов;</w:t>
            </w:r>
          </w:p>
          <w:p w:rsidR="0008732D" w:rsidRDefault="0008732D" w:rsidP="007D169A">
            <w:pPr>
              <w:overflowPunct/>
              <w:jc w:val="both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осуществление сбора и проведение анализа представленных замечаний и предложений организаций и граждан по перечню актов с привлечением структурных подразделений Министерства</w:t>
            </w:r>
          </w:p>
        </w:tc>
      </w:tr>
      <w:tr w:rsidR="0008732D" w:rsidTr="007D169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2D" w:rsidRDefault="0008732D" w:rsidP="007D169A">
            <w:pPr>
              <w:overflowPunct/>
              <w:jc w:val="both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2D" w:rsidRDefault="0008732D" w:rsidP="007D169A">
            <w:pPr>
              <w:overflowPunct/>
              <w:jc w:val="both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Анализ ведомственных нормативных правовых актов, разработанных Министерством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2D" w:rsidRDefault="0008732D" w:rsidP="007D169A">
            <w:pPr>
              <w:overflowPunct/>
              <w:jc w:val="both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ежеквартально, не позднее 10 числа месяца, следующего за отчетным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2D" w:rsidRDefault="0022499F" w:rsidP="007D169A">
            <w:pPr>
              <w:overflowPunct/>
              <w:jc w:val="both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организационно-правовой отдел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2D" w:rsidRDefault="0008732D" w:rsidP="007D169A">
            <w:pPr>
              <w:overflowPunct/>
              <w:jc w:val="both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разработка и размещение на официальном сайте Министерства исчерпывающего перечня ведомственных нормативных правовых актов (далее - ведомственный перечень актов) с приложением текстов таких актов, за исключением актов, содержащих сведения, относящиеся к охраняемой законом тайне;</w:t>
            </w:r>
          </w:p>
          <w:p w:rsidR="0008732D" w:rsidRDefault="0008732D" w:rsidP="007D169A">
            <w:pPr>
              <w:overflowPunct/>
              <w:jc w:val="both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размещение на официальном сайте Министерства уведомления о начале сбора замечаний и предложений организаций и граждан по ведомственному перечню актов;</w:t>
            </w:r>
          </w:p>
          <w:p w:rsidR="0008732D" w:rsidRDefault="0008732D" w:rsidP="007D169A">
            <w:pPr>
              <w:overflowPunct/>
              <w:jc w:val="both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осуществление сбора и проведение анализа представленных замечаний и предложений организаций и граждан по ведомственному перечню актов с привлечением структурных подразделений Министерства;</w:t>
            </w:r>
          </w:p>
          <w:p w:rsidR="0008732D" w:rsidRDefault="0008732D" w:rsidP="007D169A">
            <w:pPr>
              <w:overflowPunct/>
              <w:jc w:val="both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представление министру сводного доклада с обоснованием целесообразности (нецелесообразности) внесения изменений в ведомственные нормативные правовые акты Министерства</w:t>
            </w:r>
          </w:p>
        </w:tc>
      </w:tr>
      <w:tr w:rsidR="0008732D" w:rsidTr="007D169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2D" w:rsidRDefault="0008732D" w:rsidP="007D169A">
            <w:pPr>
              <w:overflowPunct/>
              <w:jc w:val="both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2D" w:rsidRDefault="0008732D" w:rsidP="007D169A">
            <w:pPr>
              <w:overflowPunct/>
              <w:jc w:val="both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Анализ проектов ведомственных нормативных правовых актов, разработанных Министерством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2D" w:rsidRDefault="0008732D" w:rsidP="007D169A">
            <w:pPr>
              <w:overflowPunct/>
              <w:jc w:val="both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ежеквартально, не позднее 10 числа месяца, следующего за отчетным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2D" w:rsidRDefault="0022499F" w:rsidP="0022499F">
            <w:pPr>
              <w:overflowPunct/>
              <w:jc w:val="both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ответственные исполнители структурных подразделений, участвующие в разработке проектов правовых актов 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2D" w:rsidRDefault="0008732D" w:rsidP="007D169A">
            <w:pPr>
              <w:overflowPunct/>
              <w:jc w:val="both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размещение на официальном сайте Министерства уведомления о начале сбора замечаний и предложений организаций и граждан по ведомственному перечню актов;</w:t>
            </w:r>
          </w:p>
          <w:p w:rsidR="0008732D" w:rsidRDefault="0008732D" w:rsidP="007D169A">
            <w:pPr>
              <w:overflowPunct/>
              <w:jc w:val="both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осуществление сбора и проведение анализа представленных замечаний и предложений организаций и граждан по перечню актов с привлечением структурных подразделений Министерства</w:t>
            </w:r>
          </w:p>
        </w:tc>
      </w:tr>
      <w:tr w:rsidR="0008732D" w:rsidTr="007D169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2D" w:rsidRDefault="0008732D" w:rsidP="007D169A">
            <w:pPr>
              <w:overflowPunct/>
              <w:jc w:val="both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2D" w:rsidRDefault="0008732D" w:rsidP="007D169A">
            <w:pPr>
              <w:overflowPunct/>
              <w:jc w:val="both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Мониторинг и анализ практики применения Министерством антимонопольного законодательства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2D" w:rsidRDefault="0008732D" w:rsidP="007D169A">
            <w:pPr>
              <w:overflowPunct/>
              <w:jc w:val="both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за 1 полугодие не позднее 15 числа месяца следующего за полугодием; за год, не позднее 15 числа месяца следующего за отчетным годом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2D" w:rsidRDefault="0022499F" w:rsidP="0022499F">
            <w:pPr>
              <w:overflowPunct/>
              <w:jc w:val="both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структурные подразделения Министерства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2D" w:rsidRDefault="0008732D" w:rsidP="007D169A">
            <w:pPr>
              <w:overflowPunct/>
              <w:jc w:val="both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осуществление на постоянной основе сбора сведений о правоприменительной практике в Министерстве;</w:t>
            </w:r>
          </w:p>
          <w:p w:rsidR="0008732D" w:rsidRDefault="0008732D" w:rsidP="007D169A">
            <w:pPr>
              <w:overflowPunct/>
              <w:jc w:val="both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подготовка аналитической справки об изменениях и основных аспектах правоприменительной практики в Министерстве;</w:t>
            </w:r>
          </w:p>
          <w:p w:rsidR="0008732D" w:rsidRDefault="0008732D" w:rsidP="007D169A">
            <w:pPr>
              <w:overflowPunct/>
              <w:jc w:val="both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проведение (не реже одного раза в год) рабочих совещаний с приглашением представителей Управления Федеральной антимонопольной службы по Чувашской Республике - Чувашии по обсуждению результатов правоприменительной практики в Министерстве</w:t>
            </w:r>
          </w:p>
        </w:tc>
      </w:tr>
      <w:tr w:rsidR="0008732D" w:rsidTr="007D169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2D" w:rsidRDefault="0008732D" w:rsidP="007D169A">
            <w:pPr>
              <w:overflowPunct/>
              <w:jc w:val="both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2D" w:rsidRDefault="0008732D" w:rsidP="007D169A">
            <w:pPr>
              <w:overflowPunct/>
              <w:jc w:val="both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Проведение систематической оценки эффективности разработанных и реализуемых мероприятий по снижению рисков нарушения антимонопольного законодательства в деятельности Министерства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2D" w:rsidRDefault="0008732D" w:rsidP="007D169A">
            <w:pPr>
              <w:overflowPunct/>
              <w:jc w:val="both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2D" w:rsidRDefault="0022499F" w:rsidP="007D169A">
            <w:pPr>
              <w:overflowPunct/>
              <w:jc w:val="both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организационно-правовой отдел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2D" w:rsidRDefault="0008732D" w:rsidP="007D169A">
            <w:pPr>
              <w:overflowPunct/>
              <w:jc w:val="both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оценка выявленных рисков с учетом следующих показателей:</w:t>
            </w:r>
          </w:p>
          <w:p w:rsidR="0008732D" w:rsidRDefault="0008732D" w:rsidP="007D169A">
            <w:pPr>
              <w:overflowPunct/>
              <w:jc w:val="both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отрицательное влияние на отношение институтов гражданского общества к деятельности Министерства по развитию конкуренции;</w:t>
            </w:r>
          </w:p>
          <w:p w:rsidR="0008732D" w:rsidRDefault="0008732D" w:rsidP="007D169A">
            <w:pPr>
              <w:overflowPunct/>
              <w:jc w:val="both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выдача предупреждения о прекращении действий (бездействия), которые содержат признаки нарушения антимонопольного законодательства;</w:t>
            </w:r>
          </w:p>
          <w:p w:rsidR="0008732D" w:rsidRDefault="0008732D" w:rsidP="007D169A">
            <w:pPr>
              <w:overflowPunct/>
              <w:jc w:val="both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возбуждение дела о нарушении антимонопольного законодательства;</w:t>
            </w:r>
          </w:p>
          <w:p w:rsidR="0008732D" w:rsidRDefault="0008732D" w:rsidP="007D169A">
            <w:pPr>
              <w:overflowPunct/>
              <w:jc w:val="both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привлечение к административной ответственности в виде наложения штрафов на должностных лиц или в виде их дисквалификации</w:t>
            </w:r>
          </w:p>
        </w:tc>
      </w:tr>
      <w:tr w:rsidR="0008732D" w:rsidTr="007D169A">
        <w:tc>
          <w:tcPr>
            <w:tcW w:w="9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2D" w:rsidRDefault="0008732D" w:rsidP="007D169A">
            <w:pPr>
              <w:overflowPunct/>
              <w:jc w:val="both"/>
              <w:textAlignment w:val="auto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2. Мероприятия по снижению рисков нарушения Министерством антимонопольного законодательства</w:t>
            </w:r>
          </w:p>
        </w:tc>
      </w:tr>
      <w:tr w:rsidR="0008732D" w:rsidTr="007D169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2D" w:rsidRDefault="0008732D" w:rsidP="007D169A">
            <w:pPr>
              <w:overflowPunct/>
              <w:jc w:val="both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2D" w:rsidRDefault="0008732D" w:rsidP="007D169A">
            <w:pPr>
              <w:overflowPunct/>
              <w:jc w:val="both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определение перечня ключевых показателей и методики их расчета и утверждение их министром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2D" w:rsidRDefault="0008732D" w:rsidP="007D169A">
            <w:pPr>
              <w:overflowPunct/>
              <w:jc w:val="both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не позднее 1 апреля отчетного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2D" w:rsidRDefault="0022499F" w:rsidP="007D169A">
            <w:pPr>
              <w:overflowPunct/>
              <w:jc w:val="both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организационно-правовой отдел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2D" w:rsidRDefault="0008732D" w:rsidP="007D169A">
            <w:pPr>
              <w:overflowPunct/>
              <w:jc w:val="both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проведение оценки достижения ключевых показателей эффективности реализации мероприятий антимонопольного комплаенса</w:t>
            </w:r>
          </w:p>
        </w:tc>
      </w:tr>
      <w:tr w:rsidR="0008732D" w:rsidTr="007D169A">
        <w:tc>
          <w:tcPr>
            <w:tcW w:w="9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22" w:rsidRDefault="00B83322" w:rsidP="007D169A">
            <w:pPr>
              <w:overflowPunct/>
              <w:jc w:val="both"/>
              <w:textAlignment w:val="auto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08732D" w:rsidRDefault="0008732D" w:rsidP="007D169A">
            <w:pPr>
              <w:overflowPunct/>
              <w:jc w:val="both"/>
              <w:textAlignment w:val="auto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3. Подготовка доклада об антимонопольном комплаенсе</w:t>
            </w:r>
          </w:p>
        </w:tc>
      </w:tr>
      <w:tr w:rsidR="0008732D" w:rsidTr="007D169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2D" w:rsidRDefault="0008732D" w:rsidP="007D169A">
            <w:pPr>
              <w:overflowPunct/>
              <w:jc w:val="both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2D" w:rsidRDefault="0008732D" w:rsidP="007D169A">
            <w:pPr>
              <w:overflowPunct/>
              <w:jc w:val="both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подготовка проекта доклада об антимонопольном комплаенсе и представление его на подписание министру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2D" w:rsidRDefault="0008732D" w:rsidP="007D169A">
            <w:pPr>
              <w:overflowPunct/>
              <w:jc w:val="both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не позднее 15 февраля года, следующего за отчетным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2D" w:rsidRDefault="0096533C" w:rsidP="007D169A">
            <w:pPr>
              <w:overflowPunct/>
              <w:jc w:val="both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организационно-правовой отдел </w:t>
            </w:r>
            <w:r w:rsidR="0008732D">
              <w:rPr>
                <w:rFonts w:eastAsiaTheme="minorHAnsi"/>
                <w:sz w:val="26"/>
                <w:szCs w:val="26"/>
                <w:lang w:eastAsia="en-US"/>
              </w:rPr>
              <w:t>Чувашской Республики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2D" w:rsidRDefault="0008732D" w:rsidP="007D169A">
            <w:pPr>
              <w:overflowPunct/>
              <w:jc w:val="both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утверждение Общественным советом при Министерстве доклада об антимонопольном комплаенсе;</w:t>
            </w:r>
          </w:p>
          <w:p w:rsidR="0008732D" w:rsidRDefault="0008732D" w:rsidP="007D169A">
            <w:pPr>
              <w:overflowPunct/>
              <w:jc w:val="both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размещение доклада на официальном сайте Министерства;</w:t>
            </w:r>
          </w:p>
          <w:p w:rsidR="0008732D" w:rsidRDefault="0008732D" w:rsidP="007D169A">
            <w:pPr>
              <w:overflowPunct/>
              <w:jc w:val="both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направление доклада в адрес Управления Федеральной антимонопольной службы по Чувашской Республике - Чувашии</w:t>
            </w:r>
          </w:p>
        </w:tc>
      </w:tr>
    </w:tbl>
    <w:p w:rsidR="0008732D" w:rsidRPr="0075328B" w:rsidRDefault="0008732D" w:rsidP="007D169A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sectPr w:rsidR="0008732D" w:rsidRPr="00753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27E9B"/>
    <w:multiLevelType w:val="hybridMultilevel"/>
    <w:tmpl w:val="F8AEB510"/>
    <w:lvl w:ilvl="0" w:tplc="194CC3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3EF"/>
    <w:rsid w:val="0008732D"/>
    <w:rsid w:val="000A2408"/>
    <w:rsid w:val="00187BCF"/>
    <w:rsid w:val="001A26FB"/>
    <w:rsid w:val="001F65D3"/>
    <w:rsid w:val="002223EF"/>
    <w:rsid w:val="0022499F"/>
    <w:rsid w:val="002449CA"/>
    <w:rsid w:val="002752EE"/>
    <w:rsid w:val="003612D2"/>
    <w:rsid w:val="003622DF"/>
    <w:rsid w:val="004444FB"/>
    <w:rsid w:val="00594CDD"/>
    <w:rsid w:val="005A23D7"/>
    <w:rsid w:val="005F4274"/>
    <w:rsid w:val="006D4D6E"/>
    <w:rsid w:val="007068E9"/>
    <w:rsid w:val="00720213"/>
    <w:rsid w:val="007205E6"/>
    <w:rsid w:val="0075328B"/>
    <w:rsid w:val="007D169A"/>
    <w:rsid w:val="007D6D1A"/>
    <w:rsid w:val="008A1CEF"/>
    <w:rsid w:val="0096533C"/>
    <w:rsid w:val="009B4F37"/>
    <w:rsid w:val="00A56559"/>
    <w:rsid w:val="00A820FE"/>
    <w:rsid w:val="00B83322"/>
    <w:rsid w:val="00D0333E"/>
    <w:rsid w:val="00DB39DE"/>
    <w:rsid w:val="00DD3443"/>
    <w:rsid w:val="00DD7A2F"/>
    <w:rsid w:val="00EA0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E2C9D2-71CA-4CAE-92A2-FD6F41252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3E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223EF"/>
    <w:pPr>
      <w:keepNext/>
      <w:outlineLvl w:val="3"/>
    </w:pPr>
    <w:rPr>
      <w:sz w:val="26"/>
      <w:lang w:val="x-none"/>
    </w:rPr>
  </w:style>
  <w:style w:type="paragraph" w:styleId="8">
    <w:name w:val="heading 8"/>
    <w:basedOn w:val="a"/>
    <w:next w:val="a"/>
    <w:link w:val="80"/>
    <w:semiHidden/>
    <w:unhideWhenUsed/>
    <w:qFormat/>
    <w:rsid w:val="002223EF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223EF"/>
    <w:rPr>
      <w:rFonts w:ascii="Times New Roman" w:eastAsia="Times New Roman" w:hAnsi="Times New Roman" w:cs="Times New Roman"/>
      <w:sz w:val="26"/>
      <w:szCs w:val="20"/>
      <w:lang w:val="x-none" w:eastAsia="ru-RU"/>
    </w:rPr>
  </w:style>
  <w:style w:type="character" w:customStyle="1" w:styleId="80">
    <w:name w:val="Заголовок 8 Знак"/>
    <w:basedOn w:val="a0"/>
    <w:link w:val="8"/>
    <w:semiHidden/>
    <w:rsid w:val="002223EF"/>
    <w:rPr>
      <w:rFonts w:ascii="Calibri" w:eastAsia="Times New Roman" w:hAnsi="Calibri" w:cs="Times New Roman"/>
      <w:i/>
      <w:iCs/>
      <w:sz w:val="24"/>
      <w:szCs w:val="24"/>
      <w:lang w:val="x-none" w:eastAsia="ru-RU"/>
    </w:rPr>
  </w:style>
  <w:style w:type="paragraph" w:styleId="a3">
    <w:name w:val="Balloon Text"/>
    <w:basedOn w:val="a"/>
    <w:link w:val="a4"/>
    <w:uiPriority w:val="99"/>
    <w:semiHidden/>
    <w:unhideWhenUsed/>
    <w:rsid w:val="002223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3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56B555AF5DC1839CECA12A09D9E547FC788B590273046D5584A2E89E89B4FF633C9D3F8268AE5BFDEF403A68D24C45F4A5A391101D96E7z5x4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1D56B555AF5DC1839CECA12A09D9E547FD70875D0371046D5584A2E89E89B4FF713CC5338369B05CFFFA166B2Dz8xEF" TargetMode="External"/><Relationship Id="rId10" Type="http://schemas.openxmlformats.org/officeDocument/2006/relationships/hyperlink" Target="consultantplus://offline/ref=1D56B555AF5DC1839CECA12A09D9E547FC788B590273046D5584A2E89E89B4FF633C9D3F8268AE5BFDEF403A68D24C45F4A5A391101D96E7z5x4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56B555AF5DC1839CECA12A09D9E547FC788B590273046D5584A2E89E89B4FF633C9D3F8268AE58FAEF403A68D24C45F4A5A391101D96E7z5x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3496</Words>
  <Characters>19933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Мининформ ЧР Портнова Светлана</dc:creator>
  <cp:lastModifiedBy>Мининформ ЧР Светлана Николаевна Воробьева</cp:lastModifiedBy>
  <cp:revision>24</cp:revision>
  <cp:lastPrinted>2019-12-17T10:59:00Z</cp:lastPrinted>
  <dcterms:created xsi:type="dcterms:W3CDTF">2019-12-17T10:55:00Z</dcterms:created>
  <dcterms:modified xsi:type="dcterms:W3CDTF">2020-02-27T05:32:00Z</dcterms:modified>
</cp:coreProperties>
</file>