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E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FDB">
        <w:rPr>
          <w:rFonts w:ascii="Times New Roman" w:hAnsi="Times New Roman" w:cs="Times New Roman"/>
          <w:b/>
          <w:sz w:val="28"/>
          <w:szCs w:val="28"/>
        </w:rPr>
        <w:t>ИТОГИ РАЗВИТИЯ МСП ЗА 2019 ГОД</w:t>
      </w:r>
    </w:p>
    <w:p w:rsid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77479E" w:rsidRPr="0077479E" w:rsidRDefault="0077479E" w:rsidP="00774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Канашского района действует 163 объекта розничной торговли, из которых 59 – магазины  Канашского </w:t>
      </w:r>
      <w:proofErr w:type="spellStart"/>
      <w:r w:rsidRPr="0077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райпо</w:t>
      </w:r>
      <w:proofErr w:type="spellEnd"/>
      <w:r w:rsidRPr="0077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64 предприятия общественного питания. Платные услуги населению оказывают 5 организаций. Придорожный сервис представлен 1 предприятиями розничной торговли, 4 предприятиями общественного питания, 5 автозаправочными станциями.</w:t>
      </w:r>
    </w:p>
    <w:p w:rsidR="0077479E" w:rsidRPr="0077479E" w:rsidRDefault="0077479E" w:rsidP="00774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декабре</w:t>
      </w:r>
      <w:proofErr w:type="gramEnd"/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ООО «</w:t>
      </w:r>
      <w:proofErr w:type="spellStart"/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Шихазанская</w:t>
      </w:r>
      <w:proofErr w:type="spellEnd"/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</w:t>
      </w:r>
      <w:r w:rsidRPr="0077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(создано 20 рабочих мест, ср. з/пл. 20 </w:t>
      </w:r>
      <w:proofErr w:type="spellStart"/>
      <w:r w:rsidRPr="0077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тыс.руб</w:t>
      </w:r>
      <w:proofErr w:type="spellEnd"/>
      <w:r w:rsidRPr="0077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479E" w:rsidRPr="0077479E" w:rsidRDefault="0077479E" w:rsidP="00774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по организациям всех  видов деятельности в 2019 году составил  985,5 млн. рублей и по сравнению с 2018 годом в сопоставимых ценах увеличился на 2,2%. </w:t>
      </w:r>
    </w:p>
    <w:p w:rsidR="0077479E" w:rsidRPr="0077479E" w:rsidRDefault="0077479E" w:rsidP="007747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по организациям всех  видов деятельности в  2019 году составил  14,1 млн. рублей и по сравнению с 2018 годом в сопоставимых ценах увеличился на 4,2%.</w:t>
      </w:r>
    </w:p>
    <w:p w:rsid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4D4FDB" w:rsidRPr="004D4FDB" w:rsidRDefault="004D4FDB" w:rsidP="004D4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B05F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субъектов малого  предпринимательства,  зарегистрированных на территории района, составило 675 единиц, что на 1,2% больше, чем за АППГ, из них  599 - индивидуальные предприниматели (на 14 человек(2,4%) больше, чем за АППГ) и 76 КФХ (на3 или 3,8%меньше АППГ). </w:t>
      </w:r>
    </w:p>
    <w:p w:rsidR="004D4FDB" w:rsidRPr="004D4FDB" w:rsidRDefault="004D4FDB" w:rsidP="004D4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организаций за 2019 год характеризуется ростом по отношению к 2018 году на 104,7%.</w:t>
      </w:r>
    </w:p>
    <w:p w:rsid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</w:t>
      </w:r>
    </w:p>
    <w:p w:rsidR="004D4FDB" w:rsidRDefault="004D4FDB" w:rsidP="004D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поставщиков (подрядчиков, исполнителей) для муниципальных нужд Канашского района проведено 144 аукционов в электронной форме и 2 запроса котировок в электронной форме (за АППГ -  68 аукционов и 11 запросов котировок). Заключено муниципальных контрактов на сумму 215788,3 тыс. руб. (за АППГ -  178257,7 </w:t>
      </w:r>
      <w:proofErr w:type="spellStart"/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D4FDB" w:rsidRPr="004D4FDB" w:rsidRDefault="004D4FDB" w:rsidP="004D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DB" w:rsidRPr="004D4FDB" w:rsidRDefault="004D4FDB" w:rsidP="004D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итогам проведенных электронных аукционов и запросов котировок бюджетная эффективность составила 7,6 % в сумме 17690,4 тыс. рублей. </w:t>
      </w:r>
    </w:p>
    <w:p w:rsidR="004D4FDB" w:rsidRPr="004D4FDB" w:rsidRDefault="004D4FDB" w:rsidP="004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DB" w:rsidRDefault="004D4FDB"/>
    <w:sectPr w:rsidR="004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B2"/>
    <w:rsid w:val="001846B2"/>
    <w:rsid w:val="001F22BE"/>
    <w:rsid w:val="004D4FDB"/>
    <w:rsid w:val="0077479E"/>
    <w:rsid w:val="008778EE"/>
    <w:rsid w:val="00B0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8B8A-BC69-466D-B7CA-B7754DF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Антонина В. Тямина</cp:lastModifiedBy>
  <cp:revision>2</cp:revision>
  <dcterms:created xsi:type="dcterms:W3CDTF">2020-08-14T11:22:00Z</dcterms:created>
  <dcterms:modified xsi:type="dcterms:W3CDTF">2020-08-14T11:22:00Z</dcterms:modified>
</cp:coreProperties>
</file>