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4A0"/>
      </w:tblPr>
      <w:tblGrid>
        <w:gridCol w:w="3544"/>
        <w:gridCol w:w="1701"/>
        <w:gridCol w:w="3969"/>
      </w:tblGrid>
      <w:tr w:rsidR="00910F67" w:rsidRPr="00910F67" w:rsidTr="00910F67">
        <w:tc>
          <w:tcPr>
            <w:tcW w:w="3544" w:type="dxa"/>
          </w:tcPr>
          <w:p w:rsidR="00910F67" w:rsidRPr="00910F67" w:rsidRDefault="00910F67" w:rsidP="00910F67">
            <w:pPr>
              <w:autoSpaceDN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Ч</w:t>
            </w:r>
            <w:r w:rsidRPr="00910F67">
              <w:rPr>
                <w:rFonts w:ascii="Times New Roman" w:eastAsia="Times New Roman" w:hAnsi="Times New Roman" w:cs="Times New Roman"/>
                <w:lang w:eastAsia="ru-RU"/>
              </w:rPr>
              <w:t>ă</w:t>
            </w:r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ваш</w:t>
            </w:r>
            <w:proofErr w:type="spellEnd"/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 xml:space="preserve">  </w:t>
            </w:r>
            <w:proofErr w:type="spellStart"/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Республикин</w:t>
            </w:r>
            <w:proofErr w:type="spellEnd"/>
          </w:p>
          <w:p w:rsidR="00910F67" w:rsidRPr="00910F67" w:rsidRDefault="00910F67" w:rsidP="00910F67">
            <w:pPr>
              <w:autoSpaceDN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С</w:t>
            </w:r>
            <w:r w:rsidRPr="00910F67">
              <w:rPr>
                <w:rFonts w:ascii="Times New Roman" w:eastAsia="Times New Roman" w:hAnsi="Times New Roman" w:cs="Times New Roman"/>
                <w:lang w:eastAsia="ru-RU"/>
              </w:rPr>
              <w:t>ĕ</w:t>
            </w:r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нт</w:t>
            </w:r>
            <w:r w:rsidRPr="00910F67">
              <w:rPr>
                <w:rFonts w:ascii="Times New Roman" w:eastAsia="Times New Roman" w:hAnsi="Times New Roman" w:cs="Times New Roman"/>
                <w:lang w:eastAsia="ru-RU"/>
              </w:rPr>
              <w:t>ĕ</w:t>
            </w:r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рв</w:t>
            </w:r>
            <w:r w:rsidRPr="00910F67">
              <w:rPr>
                <w:rFonts w:ascii="Times New Roman" w:eastAsia="Times New Roman" w:hAnsi="Times New Roman" w:cs="Times New Roman"/>
                <w:lang w:eastAsia="ru-RU"/>
              </w:rPr>
              <w:t>ă</w:t>
            </w:r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рри</w:t>
            </w:r>
            <w:proofErr w:type="spellEnd"/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 xml:space="preserve"> </w:t>
            </w:r>
            <w:proofErr w:type="spellStart"/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район</w:t>
            </w:r>
            <w:r w:rsidRPr="00910F67">
              <w:rPr>
                <w:rFonts w:ascii="Times New Roman" w:eastAsia="Times New Roman" w:hAnsi="Times New Roman" w:cs="Times New Roman"/>
                <w:lang w:eastAsia="ru-RU"/>
              </w:rPr>
              <w:t>ĕ</w:t>
            </w:r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н</w:t>
            </w:r>
            <w:proofErr w:type="spellEnd"/>
          </w:p>
          <w:p w:rsidR="00910F67" w:rsidRPr="00910F67" w:rsidRDefault="00910F67" w:rsidP="00910F67">
            <w:pPr>
              <w:autoSpaceDN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 xml:space="preserve"> </w:t>
            </w:r>
            <w:proofErr w:type="spellStart"/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администраци</w:t>
            </w:r>
            <w:r w:rsidR="004F14EB">
              <w:rPr>
                <w:rFonts w:ascii="Times New Roman Chuv" w:eastAsia="Times New Roman" w:hAnsi="Times New Roman Chuv" w:cs="Times New Roman"/>
                <w:lang w:eastAsia="ru-RU"/>
              </w:rPr>
              <w:t>й</w:t>
            </w:r>
            <w:r w:rsidRPr="00910F67">
              <w:rPr>
                <w:rFonts w:ascii="Times New Roman" w:eastAsia="Times New Roman" w:hAnsi="Times New Roman" w:cs="Times New Roman"/>
                <w:lang w:eastAsia="ru-RU"/>
              </w:rPr>
              <w:t>ĕ</w:t>
            </w:r>
            <w:proofErr w:type="spellEnd"/>
          </w:p>
          <w:p w:rsidR="00910F67" w:rsidRPr="00910F67" w:rsidRDefault="00910F67" w:rsidP="00910F67">
            <w:pPr>
              <w:autoSpaceDN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</w:p>
          <w:p w:rsidR="00910F67" w:rsidRPr="00910F67" w:rsidRDefault="00910F67" w:rsidP="00910F67">
            <w:pPr>
              <w:keepNext/>
              <w:autoSpaceDN w:val="0"/>
              <w:spacing w:after="0" w:line="220" w:lineRule="exact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</w:pPr>
            <w:r w:rsidRPr="00910F6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Й</w:t>
            </w:r>
            <w:r w:rsidRPr="00910F67"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10F67"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  <w:t>Ы</w:t>
            </w:r>
            <w:proofErr w:type="gramEnd"/>
            <w:r w:rsidRPr="00910F67"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  <w:t xml:space="preserve"> Ш </w:t>
            </w:r>
            <w:r w:rsidRPr="00910F6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Ǎ</w:t>
            </w:r>
            <w:r w:rsidRPr="00910F67">
              <w:rPr>
                <w:rFonts w:ascii="Times New Roman Chuv" w:eastAsia="Times New Roman" w:hAnsi="Times New Roman Chuv" w:cs="Times New Roman"/>
                <w:b/>
                <w:bCs/>
                <w:sz w:val="24"/>
                <w:szCs w:val="20"/>
                <w:lang w:eastAsia="ru-RU"/>
              </w:rPr>
              <w:t xml:space="preserve"> Н У</w:t>
            </w:r>
          </w:p>
          <w:p w:rsidR="00910F67" w:rsidRPr="00910F67" w:rsidRDefault="00910F67" w:rsidP="00910F67">
            <w:pPr>
              <w:autoSpaceDN w:val="0"/>
              <w:spacing w:after="0" w:line="220" w:lineRule="exact"/>
              <w:rPr>
                <w:rFonts w:ascii="Times New Roman Chuv" w:eastAsia="Times New Roman" w:hAnsi="Times New Roman Chuv" w:cs="Times New Roman"/>
                <w:b/>
                <w:sz w:val="24"/>
                <w:szCs w:val="20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 w:line="220" w:lineRule="exact"/>
              <w:ind w:left="60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10F6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                       №</w:t>
            </w:r>
          </w:p>
          <w:p w:rsidR="00910F67" w:rsidRPr="00910F67" w:rsidRDefault="00910F67" w:rsidP="00910F67">
            <w:pPr>
              <w:autoSpaceDN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sz w:val="28"/>
                <w:szCs w:val="20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С</w:t>
            </w:r>
            <w:r w:rsidRPr="00910F67">
              <w:rPr>
                <w:rFonts w:ascii="Times New Roman" w:eastAsia="Times New Roman" w:hAnsi="Times New Roman" w:cs="Times New Roman"/>
                <w:lang w:eastAsia="ru-RU"/>
              </w:rPr>
              <w:t>ĕ</w:t>
            </w:r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нт</w:t>
            </w:r>
            <w:r w:rsidRPr="00910F67">
              <w:rPr>
                <w:rFonts w:ascii="Times New Roman" w:eastAsia="Times New Roman" w:hAnsi="Times New Roman" w:cs="Times New Roman"/>
                <w:lang w:eastAsia="ru-RU"/>
              </w:rPr>
              <w:t>ĕ</w:t>
            </w:r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рв</w:t>
            </w:r>
            <w:r w:rsidRPr="00910F67">
              <w:rPr>
                <w:rFonts w:ascii="Times New Roman" w:eastAsia="Times New Roman" w:hAnsi="Times New Roman" w:cs="Times New Roman"/>
                <w:lang w:eastAsia="ru-RU"/>
              </w:rPr>
              <w:t>ă</w:t>
            </w:r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>рри</w:t>
            </w:r>
            <w:proofErr w:type="spellEnd"/>
            <w:r w:rsidRPr="00910F67">
              <w:rPr>
                <w:rFonts w:ascii="Times New Roman Chuv" w:eastAsia="Times New Roman" w:hAnsi="Times New Roman Chuv" w:cs="Times New Roman"/>
                <w:lang w:eastAsia="ru-RU"/>
              </w:rPr>
              <w:t xml:space="preserve">  хули</w:t>
            </w:r>
          </w:p>
          <w:p w:rsidR="00910F67" w:rsidRPr="00910F67" w:rsidRDefault="00910F67" w:rsidP="00910F67">
            <w:pPr>
              <w:autoSpaceDN w:val="0"/>
              <w:spacing w:after="0" w:line="220" w:lineRule="exact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910F67"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910F67" w:rsidRPr="00910F67" w:rsidRDefault="00910F67" w:rsidP="00910F67">
            <w:pPr>
              <w:autoSpaceDN w:val="0"/>
              <w:spacing w:after="0" w:line="220" w:lineRule="exact"/>
              <w:rPr>
                <w:rFonts w:ascii="Arial Cyr Chuv" w:eastAsia="Times New Roman" w:hAnsi="Arial Cyr Chuv" w:cs="Times New Roman"/>
                <w:b/>
                <w:szCs w:val="24"/>
                <w:lang w:eastAsia="ru-RU"/>
              </w:rPr>
            </w:pPr>
            <w:r w:rsidRPr="00910F67">
              <w:rPr>
                <w:rFonts w:ascii="Arial Cyr Chuv" w:eastAsia="Times New Roman" w:hAnsi="Arial Cyr Chuv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910F67" w:rsidRPr="00910F67" w:rsidRDefault="00910F67" w:rsidP="00910F67">
            <w:pPr>
              <w:autoSpaceDN w:val="0"/>
              <w:spacing w:after="0"/>
              <w:ind w:hanging="78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10F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Описание: 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0F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</w:t>
            </w:r>
          </w:p>
          <w:p w:rsidR="00910F67" w:rsidRPr="00910F67" w:rsidRDefault="00910F67" w:rsidP="00910F67">
            <w:pPr>
              <w:autoSpaceDN w:val="0"/>
              <w:spacing w:after="0"/>
              <w:ind w:hanging="78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/>
              <w:ind w:hanging="78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/>
              <w:ind w:hanging="78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TimesET" w:eastAsia="Times New Roman" w:hAnsi="TimesET" w:cs="Times New Roman"/>
                <w:szCs w:val="24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0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Чувашская  Республика</w:t>
            </w:r>
          </w:p>
          <w:p w:rsidR="00910F67" w:rsidRPr="00910F67" w:rsidRDefault="00BE1E3B" w:rsidP="00910F6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910F67" w:rsidRPr="00910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0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Мариинско-Посадского</w:t>
            </w: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0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района</w:t>
            </w: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10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0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910F67" w:rsidRPr="00910F67" w:rsidRDefault="00910F67" w:rsidP="00910F67">
            <w:pPr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F14EB" w:rsidRDefault="0056769D" w:rsidP="00910F6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24.01.2020 </w:t>
            </w:r>
            <w:r w:rsidR="00910F67" w:rsidRPr="00910F6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56</w:t>
            </w:r>
          </w:p>
          <w:p w:rsidR="00BE1E3B" w:rsidRDefault="00BE1E3B" w:rsidP="00910F6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0F6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Мариинский  Посад</w:t>
            </w: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TimesET" w:eastAsia="Times New Roman" w:hAnsi="TimesET" w:cs="Times New Roman"/>
                <w:szCs w:val="20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Cs w:val="20"/>
                <w:lang w:eastAsia="ru-RU"/>
              </w:rPr>
            </w:pPr>
          </w:p>
          <w:p w:rsidR="00910F67" w:rsidRPr="00910F67" w:rsidRDefault="00910F67" w:rsidP="00910F67">
            <w:pPr>
              <w:autoSpaceDN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Cs w:val="24"/>
                <w:lang w:eastAsia="ru-RU"/>
              </w:rPr>
            </w:pPr>
          </w:p>
        </w:tc>
      </w:tr>
    </w:tbl>
    <w:p w:rsidR="00910F67" w:rsidRPr="00910F67" w:rsidRDefault="00910F67" w:rsidP="00910F67">
      <w:pPr>
        <w:widowControl w:val="0"/>
        <w:shd w:val="clear" w:color="auto" w:fill="FFFFFF"/>
        <w:autoSpaceDE w:val="0"/>
        <w:autoSpaceDN w:val="0"/>
        <w:adjustRightInd w:val="0"/>
        <w:spacing w:before="130" w:after="0" w:line="322" w:lineRule="exact"/>
        <w:ind w:left="5" w:right="5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67" w:rsidRDefault="00910F67" w:rsidP="00432A61">
      <w:pPr>
        <w:widowControl w:val="0"/>
        <w:shd w:val="clear" w:color="auto" w:fill="FFFFFF"/>
        <w:autoSpaceDE w:val="0"/>
        <w:autoSpaceDN w:val="0"/>
        <w:adjustRightInd w:val="0"/>
        <w:spacing w:before="130" w:after="0" w:line="322" w:lineRule="exact"/>
        <w:ind w:left="5" w:right="45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32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</w:t>
      </w:r>
      <w:r w:rsidRPr="0091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БТИ </w:t>
      </w:r>
      <w:r w:rsidR="00155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432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Техиндом</w:t>
      </w:r>
      <w:proofErr w:type="spellEnd"/>
      <w:r w:rsidR="00432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10F67" w:rsidRDefault="00910F67" w:rsidP="00910F6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90B" w:rsidRPr="004F14EB" w:rsidRDefault="00432A61" w:rsidP="00832E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61 - 64 Гражданского кодекса Российской Федерации, федеральными законами от 12 января 1996 года № 161-ФЗ «О государственных и муниципальных унитарных предприятиях»,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4F1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1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убыточностью по итогам годового баланса, отсутствием необходимости в выполняемой работе и оказываемых услугах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10F67" w:rsidRPr="004F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="00910F67" w:rsidRPr="004F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10F67" w:rsidRPr="004F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910F67" w:rsidRPr="004F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 а н о в л я е т:</w:t>
      </w:r>
    </w:p>
    <w:p w:rsidR="0015590B" w:rsidRPr="00E953EC" w:rsidRDefault="0015590B" w:rsidP="00832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муниципальное унитарное предприятие  бюро технической инвентаризации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ОГРН </w:t>
      </w:r>
      <w:r w:rsidRPr="00E953EC">
        <w:rPr>
          <w:rFonts w:ascii="Times New Roman" w:hAnsi="Times New Roman" w:cs="Times New Roman"/>
          <w:sz w:val="24"/>
          <w:szCs w:val="24"/>
        </w:rPr>
        <w:t>1022102430789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Юридический адрес: Чувашская Республика, </w:t>
      </w:r>
      <w:proofErr w:type="gram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Мариинский Посад, ул. Лазо, д. 63.</w:t>
      </w:r>
    </w:p>
    <w:p w:rsidR="0015590B" w:rsidRPr="00E953EC" w:rsidRDefault="0015590B" w:rsidP="00832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 срок ликвидации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четырех месяцев со дня вступления в силу настоящего постановления.</w:t>
      </w:r>
    </w:p>
    <w:p w:rsidR="00E953EC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3.Образовать ликвидационную комиссию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утвердить ее состав (Приложение 1)</w:t>
      </w:r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4.Ликвидационной комиссии при ликвидации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порядке и в сроки, установленные трудовым законодательством Российской Федерации, предупредить работников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предстоящем увольнении в связи с ликвидацией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обеспечить проведение комплекса организационных мероприятий, связанных с ликвидацией МУП, в отношении работников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 соблюдением трудовых и социальных гарантий;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</w:t>
      </w:r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реализацию полномочий по управлению делами ликвидируемого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течение всего периода ликвидации;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в журнале «Вестник государственной регистрации» публикацию о ликвидации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о порядке и сроках заявления требований кредиторами;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и уведомить в письменной форме о ликвидации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всех известных кредиторов и оформить с ними акты сверки взаиморасчетов;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к выявлению дебиторов и получению дебиторской задолженности;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10 календарных дней после окончания срока для предъявления требований 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</w:r>
      <w:proofErr w:type="gram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proofErr w:type="gram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его на утверждение в </w:t>
      </w:r>
      <w:r w:rsidR="004F1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Мариинско-Посадского района Чувашской Республики (далее Учредитель);</w:t>
      </w:r>
    </w:p>
    <w:p w:rsidR="00832E80" w:rsidRDefault="00832E80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0B"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Учредителю свидетельство об исключении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 Единого государственного реестра юридических лиц.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5.Утвердить план мероприятий по ликвидации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соответствии с Гражданским кодексом Российской Федерации (Приложение 2).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953EC"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53EC"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подачу уведомления</w:t>
      </w:r>
      <w:r w:rsidR="00E953EC"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принятия настоящего постановления</w:t>
      </w:r>
      <w:r w:rsidR="00E953EC"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орган, осуществляющий государственную регистрацию юридических лиц, индивидуальных предпринимателей и КФХ, о </w:t>
      </w:r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МУП БТИ «</w:t>
      </w:r>
      <w:proofErr w:type="spellStart"/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3EC" w:rsidRPr="0015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</w:t>
      </w:r>
      <w:r w:rsidR="00E953EC"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</w:t>
      </w:r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ликвидационной комиссии </w:t>
      </w:r>
      <w:proofErr w:type="spellStart"/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Стальского</w:t>
      </w:r>
      <w:proofErr w:type="spellEnd"/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  <w:r w:rsidR="00E953EC" w:rsidRPr="0015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(паспорт</w:t>
      </w:r>
      <w:r w:rsidR="0083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53EC" w:rsidRPr="00155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– 9701, № -  258929, выдан 23.05.2001 </w:t>
      </w:r>
      <w:proofErr w:type="spellStart"/>
      <w:r w:rsidR="0083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Мариинско-Посадским</w:t>
      </w:r>
      <w:proofErr w:type="spellEnd"/>
      <w:r w:rsidR="0083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РОВД Чувашской Республики)</w:t>
      </w:r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настоящего постановления;</w:t>
      </w:r>
      <w:proofErr w:type="gramEnd"/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трех рабочих дней со дня принятия настоящего постановления уведомить Пенсионный фонд и Фонд социального страхования о ликвидации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и передать документы по личному составу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в </w:t>
      </w:r>
      <w:r w:rsidR="00832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«Мариинско-Посадский архив» Мариинско-Посадского района Ч</w:t>
      </w:r>
      <w:r w:rsid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 Республики.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7.Отделу экономики и имущественных отношений администрации Мариинско-Посадского района после ликвидации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внести соответствующие изменения в Реестр муниципальной собственности </w:t>
      </w:r>
      <w:r w:rsidR="005918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ариинско-Посадского района.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8.Установить, что со дня вступления в силу настоящего постановления функции единоличного исполнительного органа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переходят к ликвидационной комиссии.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9.Финансовое обеспечение ликвидационных мероприятий осуществить за счет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2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10.Утвердить прилагаемый перечень имущества, находящегося в хозяйственном ведении МУП БТИ «</w:t>
      </w:r>
      <w:proofErr w:type="spellStart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="00832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E80" w:rsidRDefault="00832E80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Нереализованное имущество, оставшееся после завершения процедуры </w:t>
      </w:r>
      <w:r w:rsidR="00800A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800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</w:t>
      </w:r>
      <w:r w:rsidR="0015590B"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в казну Мариинско-Посадского района.</w:t>
      </w:r>
    </w:p>
    <w:p w:rsidR="00832E80" w:rsidRDefault="0015590B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E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постановление в муниципальной газете «Посадский вестник».</w:t>
      </w:r>
    </w:p>
    <w:p w:rsidR="0015590B" w:rsidRPr="00E953EC" w:rsidRDefault="00832E80" w:rsidP="00832E80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5590B"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15590B"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5590B" w:rsidRPr="00E9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</w:t>
      </w:r>
      <w:r w:rsidR="004F14E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 оставляю за собой.</w:t>
      </w:r>
    </w:p>
    <w:p w:rsidR="005918C6" w:rsidRDefault="005918C6" w:rsidP="0059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C6" w:rsidRDefault="005918C6" w:rsidP="0059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1C" w:rsidRDefault="002E7A1C" w:rsidP="0059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0B" w:rsidRPr="005918C6" w:rsidRDefault="0015590B" w:rsidP="0059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5590B" w:rsidRPr="005918C6" w:rsidRDefault="0015590B" w:rsidP="0059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района                                                                          А.А.Мясников</w:t>
      </w:r>
    </w:p>
    <w:p w:rsidR="005918C6" w:rsidRPr="005918C6" w:rsidRDefault="005918C6" w:rsidP="0059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C6" w:rsidRPr="005918C6" w:rsidRDefault="005918C6" w:rsidP="0059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C6" w:rsidRDefault="005918C6" w:rsidP="00591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15590B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3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 администрации </w:t>
      </w:r>
    </w:p>
    <w:p w:rsidR="00832E80" w:rsidRDefault="00832E80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района </w:t>
      </w:r>
    </w:p>
    <w:p w:rsidR="0056769D" w:rsidRDefault="0056769D" w:rsidP="0056769D">
      <w:pPr>
        <w:autoSpaceDN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</w:t>
      </w:r>
      <w:r w:rsidR="00832E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9D">
        <w:rPr>
          <w:rFonts w:ascii="Times New Roman" w:eastAsia="Times New Roman" w:hAnsi="Times New Roman" w:cs="Times New Roman"/>
          <w:bCs/>
          <w:szCs w:val="20"/>
          <w:lang w:eastAsia="ru-RU"/>
        </w:rPr>
        <w:t>24.01.2020 № 56</w:t>
      </w:r>
    </w:p>
    <w:p w:rsidR="0015590B" w:rsidRPr="0015590B" w:rsidRDefault="0015590B" w:rsidP="004F1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ликвидационной комиссии муниципального унитарного предприятия</w:t>
      </w: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4F14EB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 «</w:t>
      </w:r>
      <w:proofErr w:type="spellStart"/>
      <w:r w:rsidR="004F1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="004F14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14"/>
        <w:gridCol w:w="6451"/>
      </w:tblGrid>
      <w:tr w:rsidR="0015590B" w:rsidRPr="0015590B" w:rsidTr="00DB2898">
        <w:trPr>
          <w:tblCellSpacing w:w="0" w:type="dxa"/>
        </w:trPr>
        <w:tc>
          <w:tcPr>
            <w:tcW w:w="3014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6451" w:type="dxa"/>
            <w:hideMark/>
          </w:tcPr>
          <w:p w:rsidR="0015590B" w:rsidRPr="00DB2898" w:rsidRDefault="0015590B" w:rsidP="004F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-директор МУП БТИ «</w:t>
            </w:r>
            <w:proofErr w:type="spellStart"/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Техиндом</w:t>
            </w:r>
            <w:proofErr w:type="spellEnd"/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председатель ликвидационной комиссии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3014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А.Г.</w:t>
            </w:r>
          </w:p>
        </w:tc>
        <w:tc>
          <w:tcPr>
            <w:tcW w:w="6451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-ведущий специалист отдела экономики и имущественных отношений администрации Мариинско-Посадского района,   секретарь комиссии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9465" w:type="dxa"/>
            <w:gridSpan w:val="2"/>
            <w:hideMark/>
          </w:tcPr>
          <w:p w:rsidR="0015590B" w:rsidRPr="00DB2898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3014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Веденеева М.М.</w:t>
            </w:r>
          </w:p>
        </w:tc>
        <w:tc>
          <w:tcPr>
            <w:tcW w:w="6451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-управляющий делами </w:t>
            </w:r>
            <w:proofErr w:type="gramStart"/>
            <w:r w:rsidR="004F14EB"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="004F14EB"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организационной работы </w:t>
            </w: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Мариинско-Посадского района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3014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О.В.</w:t>
            </w:r>
          </w:p>
        </w:tc>
        <w:tc>
          <w:tcPr>
            <w:tcW w:w="6451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отдела юридической службы администрации Мариинско-Посадского района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3014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Ю.А.</w:t>
            </w:r>
          </w:p>
        </w:tc>
        <w:tc>
          <w:tcPr>
            <w:tcW w:w="6451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-бухгалтер МУП БТИ «</w:t>
            </w:r>
            <w:proofErr w:type="spellStart"/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Техиндом</w:t>
            </w:r>
            <w:proofErr w:type="spellEnd"/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3014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Н.В.</w:t>
            </w:r>
          </w:p>
        </w:tc>
        <w:tc>
          <w:tcPr>
            <w:tcW w:w="6451" w:type="dxa"/>
            <w:hideMark/>
          </w:tcPr>
          <w:p w:rsidR="0015590B" w:rsidRPr="00DB2898" w:rsidRDefault="0015590B" w:rsidP="00591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-и.о. </w:t>
            </w:r>
            <w:r w:rsidR="005918C6"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начальника </w:t>
            </w: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5918C6"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имущественных отношений администрации Мариинско-Посадского района,   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3014" w:type="dxa"/>
            <w:hideMark/>
          </w:tcPr>
          <w:p w:rsidR="0015590B" w:rsidRPr="00DB2898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С.А.</w:t>
            </w:r>
          </w:p>
        </w:tc>
        <w:tc>
          <w:tcPr>
            <w:tcW w:w="6451" w:type="dxa"/>
            <w:hideMark/>
          </w:tcPr>
          <w:p w:rsidR="0015590B" w:rsidRPr="00DB2898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финансового отдела администрации Мариинско-Посадского района</w:t>
            </w:r>
          </w:p>
        </w:tc>
      </w:tr>
    </w:tbl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к постановлению администрации </w:t>
      </w: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района </w:t>
      </w:r>
    </w:p>
    <w:p w:rsidR="00DB2898" w:rsidRPr="0015590B" w:rsidRDefault="0056769D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28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24.01.2020</w:t>
      </w:r>
      <w:r w:rsidR="00DB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5918C6" w:rsidRDefault="0015590B" w:rsidP="004F14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90B" w:rsidRPr="005918C6" w:rsidRDefault="0015590B" w:rsidP="005918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59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 ликвидации муниципального унитарного</w:t>
      </w:r>
      <w:r w:rsidRPr="0059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предприятия </w:t>
      </w:r>
      <w:r w:rsidR="0059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БТИ «</w:t>
      </w:r>
      <w:proofErr w:type="spellStart"/>
      <w:r w:rsidR="0059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Техиндом</w:t>
      </w:r>
      <w:proofErr w:type="spellEnd"/>
      <w:r w:rsidR="0059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5475" w:type="pct"/>
        <w:tblCellSpacing w:w="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5"/>
        <w:gridCol w:w="2750"/>
        <w:gridCol w:w="2781"/>
        <w:gridCol w:w="2085"/>
        <w:gridCol w:w="2183"/>
      </w:tblGrid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в журнале «Вестник государственной регистрации» информацию о ликвидации МУП БТИ «</w:t>
            </w:r>
            <w:proofErr w:type="spellStart"/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Техиндом</w:t>
            </w:r>
            <w:proofErr w:type="spellEnd"/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и  о  порядке, и сроке заявления требований его кредиторами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 Гражданского кодекса Российской Федерации, с учетом сроков окончания полномочий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уведомить кредиторов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имущества ликвидируемого учреждения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 Федерального закона № 129 «О бухгалтерском учете»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два месяца до увольнения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</w:t>
            </w: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             </w:t>
            </w:r>
            <w:proofErr w:type="gramStart"/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15001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63 Гражданского кодекса Российской Федерации,</w:t>
            </w:r>
          </w:p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ликвидационный баланс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63, статья 64 Гражданского кодекса Российской Федерации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63, статья 64 Гражданского кодекса Российской Федерации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расчетов с кредиторами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63 Гражданского кодекса Российской Федерации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календарных дней после утверждения ликвидационного баланса с учетом статьи 21 Федерального закона от 08.08.2001                № 129 -ФЗ «О государственной регистрации юридических лиц и индивидуальных предпринимателей»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статьи 21 Госпошлина в </w:t>
            </w:r>
            <w:proofErr w:type="gramStart"/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ст. 333.33 Налоговым кодексом Российской Федерации</w:t>
            </w:r>
          </w:p>
        </w:tc>
      </w:tr>
      <w:tr w:rsidR="0015590B" w:rsidRPr="0015590B" w:rsidTr="00DB2898">
        <w:trPr>
          <w:tblCellSpacing w:w="0" w:type="dxa"/>
        </w:trPr>
        <w:tc>
          <w:tcPr>
            <w:tcW w:w="56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50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Учредителю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781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2183" w:type="dxa"/>
            <w:hideMark/>
          </w:tcPr>
          <w:p w:rsidR="0015590B" w:rsidRPr="0015590B" w:rsidRDefault="0015590B" w:rsidP="00155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590B" w:rsidRPr="0015590B" w:rsidRDefault="0015590B" w:rsidP="00155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A1C" w:rsidRDefault="002E7A1C" w:rsidP="00F22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постановлению администрации </w:t>
      </w:r>
    </w:p>
    <w:p w:rsidR="00DB2898" w:rsidRDefault="00DB2898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района </w:t>
      </w:r>
    </w:p>
    <w:p w:rsidR="00DB2898" w:rsidRPr="0015590B" w:rsidRDefault="0056769D" w:rsidP="00DB289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28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24.01.2020</w:t>
      </w:r>
      <w:r w:rsidR="00DB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F22B17" w:rsidRPr="0015590B" w:rsidRDefault="00F22B17" w:rsidP="00F22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имущества, находящегося в хозяйственном ведении</w:t>
      </w: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МУП БТИ «</w:t>
      </w:r>
      <w:proofErr w:type="spellStart"/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Техиндом</w:t>
      </w:r>
      <w:proofErr w:type="spellEnd"/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подлежащего возврату</w:t>
      </w:r>
      <w:r w:rsidRPr="00155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казну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76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57"/>
        <w:gridCol w:w="3117"/>
        <w:gridCol w:w="2454"/>
      </w:tblGrid>
      <w:tr w:rsidR="00F22B17" w:rsidRPr="0015590B" w:rsidTr="00056BED">
        <w:trPr>
          <w:tblCellSpacing w:w="0" w:type="dxa"/>
        </w:trPr>
        <w:tc>
          <w:tcPr>
            <w:tcW w:w="3457" w:type="dxa"/>
            <w:hideMark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7" w:type="dxa"/>
            <w:hideMark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2454" w:type="dxa"/>
            <w:hideMark/>
          </w:tcPr>
          <w:p w:rsidR="00F22B17" w:rsidRPr="0015590B" w:rsidRDefault="00F22B17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/ остаточная стоимость на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  <w:hideMark/>
          </w:tcPr>
          <w:p w:rsidR="00F22B17" w:rsidRPr="002F1DDF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EC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17" w:type="dxa"/>
            <w:hideMark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  <w:hideMark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17293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  <w:hideMark/>
          </w:tcPr>
          <w:p w:rsidR="00F22B17" w:rsidRPr="0015590B" w:rsidRDefault="00F22B17" w:rsidP="00056BED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3E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ВР-80</w:t>
            </w:r>
          </w:p>
        </w:tc>
        <w:tc>
          <w:tcPr>
            <w:tcW w:w="3117" w:type="dxa"/>
            <w:hideMark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  <w:hideMark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16019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рулетка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17572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метал.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10640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метал.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8558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6709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5885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8286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Диван-кровать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</w:tr>
      <w:tr w:rsidR="00F22B17" w:rsidRPr="0015590B" w:rsidTr="00056BED">
        <w:trPr>
          <w:tblCellSpacing w:w="0" w:type="dxa"/>
        </w:trPr>
        <w:tc>
          <w:tcPr>
            <w:tcW w:w="3457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17" w:type="dxa"/>
          </w:tcPr>
          <w:p w:rsidR="00F22B17" w:rsidRPr="0015590B" w:rsidRDefault="00F22B17" w:rsidP="00056B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ул. Лазо, д.63</w:t>
            </w:r>
          </w:p>
        </w:tc>
        <w:tc>
          <w:tcPr>
            <w:tcW w:w="2454" w:type="dxa"/>
          </w:tcPr>
          <w:p w:rsidR="00F22B17" w:rsidRPr="0015590B" w:rsidRDefault="00F22B17" w:rsidP="00056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</w:tr>
    </w:tbl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EB" w:rsidRDefault="004F14EB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F0" w:rsidRDefault="00634BF0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1C" w:rsidRDefault="002E7A1C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1C" w:rsidRDefault="002E7A1C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EB" w:rsidRPr="0015590B" w:rsidRDefault="004F14EB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73" w:rsidRPr="0015590B" w:rsidRDefault="00F51073" w:rsidP="0015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делами-начальник</w:t>
      </w:r>
      <w:proofErr w:type="spellEnd"/>
      <w:proofErr w:type="gramEnd"/>
    </w:p>
    <w:p w:rsidR="004F14EB" w:rsidRPr="0098685A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организационной работы                                                            М.М. Веденеева</w:t>
      </w:r>
    </w:p>
    <w:p w:rsidR="004F14EB" w:rsidRPr="0098685A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юридической службы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Цветкова</w:t>
      </w: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аместителя начальника отдела </w:t>
      </w: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имущ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отношений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Н.В. Назарова</w:t>
      </w: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</w:p>
    <w:p w:rsidR="004F14EB" w:rsidRDefault="004F14EB" w:rsidP="004F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работы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Е.Г. Кондратьева</w:t>
      </w:r>
    </w:p>
    <w:sectPr w:rsidR="004F14EB" w:rsidSect="001837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67"/>
    <w:rsid w:val="00025F90"/>
    <w:rsid w:val="001212B0"/>
    <w:rsid w:val="0015369F"/>
    <w:rsid w:val="0015590B"/>
    <w:rsid w:val="00183739"/>
    <w:rsid w:val="00295401"/>
    <w:rsid w:val="002E7A1C"/>
    <w:rsid w:val="003D02A0"/>
    <w:rsid w:val="00432A61"/>
    <w:rsid w:val="00482C4A"/>
    <w:rsid w:val="004A547A"/>
    <w:rsid w:val="004B3ABE"/>
    <w:rsid w:val="004F14EB"/>
    <w:rsid w:val="0056769D"/>
    <w:rsid w:val="005918C6"/>
    <w:rsid w:val="005A54CB"/>
    <w:rsid w:val="00634BF0"/>
    <w:rsid w:val="006A1B84"/>
    <w:rsid w:val="007B2EB2"/>
    <w:rsid w:val="00800AAB"/>
    <w:rsid w:val="00832E80"/>
    <w:rsid w:val="00833BE0"/>
    <w:rsid w:val="00910F67"/>
    <w:rsid w:val="009A5876"/>
    <w:rsid w:val="00B1779B"/>
    <w:rsid w:val="00B30B31"/>
    <w:rsid w:val="00BE1E3B"/>
    <w:rsid w:val="00DB2898"/>
    <w:rsid w:val="00DD0EF8"/>
    <w:rsid w:val="00E953EC"/>
    <w:rsid w:val="00F22B17"/>
    <w:rsid w:val="00F51073"/>
    <w:rsid w:val="00FC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0948-29A0-403E-9835-D629D80E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Мариинский Посад - Степанова М.Н.</dc:creator>
  <cp:lastModifiedBy>marpos_org2</cp:lastModifiedBy>
  <cp:revision>4</cp:revision>
  <cp:lastPrinted>2020-01-23T13:50:00Z</cp:lastPrinted>
  <dcterms:created xsi:type="dcterms:W3CDTF">2020-01-22T08:28:00Z</dcterms:created>
  <dcterms:modified xsi:type="dcterms:W3CDTF">2020-01-23T13:53:00Z</dcterms:modified>
</cp:coreProperties>
</file>