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Look w:val="0000"/>
      </w:tblPr>
      <w:tblGrid>
        <w:gridCol w:w="9430"/>
      </w:tblGrid>
      <w:tr w:rsidR="00823EBC" w:rsidRPr="00823EBC" w:rsidTr="005F1C33">
        <w:tc>
          <w:tcPr>
            <w:tcW w:w="9430" w:type="dxa"/>
          </w:tcPr>
          <w:tbl>
            <w:tblPr>
              <w:tblW w:w="9214" w:type="dxa"/>
              <w:tblLook w:val="0000"/>
            </w:tblPr>
            <w:tblGrid>
              <w:gridCol w:w="3544"/>
              <w:gridCol w:w="1701"/>
              <w:gridCol w:w="3969"/>
            </w:tblGrid>
            <w:tr w:rsidR="00823EBC" w:rsidRPr="00823EBC" w:rsidTr="005F1C33">
              <w:tc>
                <w:tcPr>
                  <w:tcW w:w="3544" w:type="dxa"/>
                </w:tcPr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lang w:eastAsia="ru-RU"/>
                    </w:rPr>
                  </w:pP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Ч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ваш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 </w:t>
                  </w: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Республикин</w:t>
                  </w:r>
                  <w:proofErr w:type="spellEnd"/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рри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район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</w:t>
                  </w:r>
                  <w:proofErr w:type="spellEnd"/>
                </w:p>
                <w:p w:rsidR="00823EBC" w:rsidRPr="00823EBC" w:rsidRDefault="00823EBC" w:rsidP="00823EBC">
                  <w:pPr>
                    <w:spacing w:after="0" w:line="220" w:lineRule="exact"/>
                    <w:ind w:left="-108"/>
                    <w:jc w:val="center"/>
                    <w:rPr>
                      <w:rFonts w:ascii="Times New Roman Chuv" w:eastAsia="Times New Roman" w:hAnsi="Times New Roman Chuv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администраций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proofErr w:type="spell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 xml:space="preserve"> </w:t>
                  </w:r>
                </w:p>
                <w:p w:rsidR="00E56A2B" w:rsidRDefault="00E56A2B" w:rsidP="00823EBC">
                  <w:pPr>
                    <w:keepNext/>
                    <w:spacing w:after="0" w:line="22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keepNext/>
                    <w:spacing w:after="0" w:line="220" w:lineRule="exact"/>
                    <w:jc w:val="center"/>
                    <w:outlineLvl w:val="0"/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Й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>Ы</w:t>
                  </w:r>
                  <w:proofErr w:type="gramEnd"/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Ш 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Ǎ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Н У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Times New Roman Chuv" w:eastAsia="Times New Roman" w:hAnsi="Times New Roman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ind w:left="60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  <w:t xml:space="preserve">                               №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Arial Cyr Chuv" w:eastAsia="Times New Roman" w:hAnsi="Arial Cyr Chuv" w:cs="Times New Roman"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20" w:lineRule="exact"/>
                    <w:jc w:val="center"/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</w:pP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С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нт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ĕ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рв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ă</w:t>
                  </w:r>
                  <w:r w:rsidRPr="00823EBC">
                    <w:rPr>
                      <w:rFonts w:ascii="Times New Roman Chuv" w:eastAsia="Times New Roman" w:hAnsi="Times New Roman Chuv" w:cs="Times New Roman"/>
                      <w:b/>
                      <w:lang w:eastAsia="ru-RU"/>
                    </w:rPr>
                    <w:t>рри  хули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</w:t>
                  </w:r>
                </w:p>
                <w:p w:rsidR="00823EBC" w:rsidRPr="00823EBC" w:rsidRDefault="00823EBC" w:rsidP="00823EBC">
                  <w:pPr>
                    <w:spacing w:after="0" w:line="220" w:lineRule="exact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Arial Cyr Chuv" w:eastAsia="Times New Roman" w:hAnsi="Arial Cyr Chuv" w:cs="Times New Roman"/>
                      <w:i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8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234315</wp:posOffset>
                        </wp:positionH>
                        <wp:positionV relativeFrom="margin">
                          <wp:posOffset>152400</wp:posOffset>
                        </wp:positionV>
                        <wp:extent cx="596265" cy="775335"/>
                        <wp:effectExtent l="0" t="0" r="0" b="5715"/>
                        <wp:wrapSquare wrapText="bothSides"/>
                        <wp:docPr id="1" name="Рисунок 1" descr="герб_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23EBC"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  <w:t xml:space="preserve">                  </w:t>
                  </w: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0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40" w:lineRule="auto"/>
                    <w:ind w:hanging="783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Мариинско-Посадского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района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 О С Т А Н О В Л Е Н И Е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</w:pPr>
                </w:p>
                <w:p w:rsidR="00823EBC" w:rsidRPr="00823EBC" w:rsidRDefault="00823EBC" w:rsidP="00E56A2B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                 </w:t>
                  </w:r>
                  <w:r w:rsidR="00E56A2B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25.08.2020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 №  </w:t>
                  </w:r>
                  <w:r w:rsidR="00E56A2B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497</w:t>
                  </w:r>
                  <w:r w:rsidRPr="00823EBC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 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823EBC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г. Мариинский  Посад</w:t>
                  </w: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TimesET" w:eastAsia="Times New Roman" w:hAnsi="TimesET" w:cs="Times New Roman"/>
                      <w:b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  <w:p w:rsidR="00823EBC" w:rsidRPr="00823EBC" w:rsidRDefault="00823EBC" w:rsidP="00823EBC">
                  <w:pPr>
                    <w:spacing w:after="0" w:line="200" w:lineRule="exact"/>
                    <w:jc w:val="center"/>
                    <w:rPr>
                      <w:rFonts w:ascii="Arial Cyr Chuv" w:eastAsia="Times New Roman" w:hAnsi="Arial Cyr Chuv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</w:tr>
          </w:tbl>
          <w:p w:rsidR="00823EBC" w:rsidRPr="00823EBC" w:rsidRDefault="00823EBC" w:rsidP="0082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464" w:rsidRPr="001F0464" w:rsidRDefault="001F0464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Перечня</w:t>
      </w:r>
      <w:r w:rsidRPr="001F0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мероприятий </w:t>
      </w:r>
    </w:p>
    <w:p w:rsidR="001F0464" w:rsidRDefault="001F0464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организации бесплатного горячего питания</w:t>
      </w:r>
    </w:p>
    <w:p w:rsidR="001F0464" w:rsidRDefault="001F0464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обучающихся, получающих начальное общее </w:t>
      </w:r>
    </w:p>
    <w:p w:rsidR="001F0464" w:rsidRDefault="001F0464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образование в муниципальных образовательных </w:t>
      </w:r>
    </w:p>
    <w:p w:rsidR="001F0464" w:rsidRDefault="001F0464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организациях, обеспечивающих охват 100 процентов </w:t>
      </w:r>
    </w:p>
    <w:p w:rsidR="001F0464" w:rsidRDefault="001F0464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4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числа таких обучающихся в указан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ных </w:t>
      </w:r>
    </w:p>
    <w:p w:rsidR="00823EBC" w:rsidRDefault="001F0464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образовательных организациях Мариинско-Посадского</w:t>
      </w:r>
    </w:p>
    <w:p w:rsidR="001F0464" w:rsidRDefault="001F0464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района Чувашской Республики</w:t>
      </w:r>
    </w:p>
    <w:p w:rsidR="00365EFF" w:rsidRPr="001F0464" w:rsidRDefault="00365EFF" w:rsidP="001F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23EBC" w:rsidRPr="00823EBC" w:rsidRDefault="00823EBC" w:rsidP="00823EBC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</w:p>
    <w:p w:rsidR="00823EBC" w:rsidRPr="00823EBC" w:rsidRDefault="00823EBC" w:rsidP="00823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Мариинско-Посадского района Чувашской Республики</w:t>
      </w:r>
      <w:r w:rsidR="00C32D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исполнение пункта 2.2 Правил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утвержденных постановлением Кабинета Министров Чувашской Республики от 12 августа 2020 г. № 465 </w:t>
      </w:r>
      <w:r w:rsidR="002A6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="00C32D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внесении изменений в государственную программу Чувашской Республики «Развитие образования»</w:t>
      </w: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823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 о с т а н о в л я е т:</w:t>
      </w:r>
    </w:p>
    <w:p w:rsidR="00823EBC" w:rsidRPr="00823EBC" w:rsidRDefault="00823EBC" w:rsidP="0015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15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прилагаемый Перечень </w:t>
      </w:r>
      <w:r w:rsidR="00156C75" w:rsidRPr="0015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 по организации бесплатного горячего питания</w:t>
      </w:r>
      <w:r w:rsidR="0015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75" w:rsidRPr="0015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 в указанных образовательных организациях Мариинско-Посадского</w:t>
      </w:r>
      <w:r w:rsidR="0015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6C75" w:rsidRPr="0015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 Чувашской Республики</w:t>
      </w:r>
      <w:r w:rsidR="00156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23EBC" w:rsidRPr="00823EBC" w:rsidRDefault="00823EBC" w:rsidP="00823EBC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2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823EBC" w:rsidRPr="00823EBC" w:rsidRDefault="00823EB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3EBC" w:rsidRPr="00823EBC" w:rsidRDefault="00823EBC" w:rsidP="00823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23EBC" w:rsidRPr="00823EBC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BC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</w:t>
      </w:r>
    </w:p>
    <w:p w:rsidR="00823EBC" w:rsidRDefault="00823EBC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Мариинско</w:t>
      </w:r>
      <w:proofErr w:type="spellEnd"/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Посадского района</w:t>
      </w:r>
      <w:r w:rsidR="00BC3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  <w:r w:rsidR="00434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23E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Мустаев</w:t>
      </w:r>
      <w:proofErr w:type="spellEnd"/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D60" w:rsidRDefault="005E7D60" w:rsidP="00823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E7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C33" w:rsidRPr="00B823B2" w:rsidRDefault="005F1C33" w:rsidP="005F1C33">
      <w:pPr>
        <w:pStyle w:val="ConsPlusTitle"/>
        <w:ind w:left="9214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823B2"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</w:t>
      </w:r>
      <w:r w:rsidR="000B286E" w:rsidRPr="00B823B2">
        <w:rPr>
          <w:rFonts w:ascii="Times New Roman" w:hAnsi="Times New Roman" w:cs="Times New Roman"/>
          <w:b w:val="0"/>
          <w:sz w:val="26"/>
          <w:szCs w:val="26"/>
        </w:rPr>
        <w:t>ЕН</w:t>
      </w:r>
    </w:p>
    <w:p w:rsidR="000B286E" w:rsidRPr="00B823B2" w:rsidRDefault="000B286E" w:rsidP="005F1C33">
      <w:pPr>
        <w:pStyle w:val="ConsPlusTitle"/>
        <w:ind w:left="9214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823B2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Мариинско-Посадского района </w:t>
      </w:r>
    </w:p>
    <w:p w:rsidR="000B286E" w:rsidRPr="00B823B2" w:rsidRDefault="000B286E" w:rsidP="005F1C33">
      <w:pPr>
        <w:pStyle w:val="ConsPlusTitle"/>
        <w:ind w:left="9214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823B2">
        <w:rPr>
          <w:rFonts w:ascii="Times New Roman" w:hAnsi="Times New Roman" w:cs="Times New Roman"/>
          <w:b w:val="0"/>
          <w:sz w:val="26"/>
          <w:szCs w:val="26"/>
        </w:rPr>
        <w:t xml:space="preserve">Чувашской Республики </w:t>
      </w:r>
    </w:p>
    <w:p w:rsidR="000B286E" w:rsidRPr="00B823B2" w:rsidRDefault="000B286E" w:rsidP="005F1C33">
      <w:pPr>
        <w:pStyle w:val="ConsPlusTitle"/>
        <w:ind w:left="9214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823B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F1C33" w:rsidRPr="00B823B2">
        <w:rPr>
          <w:rFonts w:ascii="Times New Roman" w:hAnsi="Times New Roman" w:cs="Times New Roman"/>
          <w:b w:val="0"/>
          <w:sz w:val="26"/>
          <w:szCs w:val="26"/>
        </w:rPr>
        <w:t>«</w:t>
      </w:r>
      <w:r w:rsidR="00BC3856">
        <w:rPr>
          <w:rFonts w:ascii="Times New Roman" w:hAnsi="Times New Roman" w:cs="Times New Roman"/>
          <w:b w:val="0"/>
          <w:sz w:val="26"/>
          <w:szCs w:val="26"/>
        </w:rPr>
        <w:t>25</w:t>
      </w:r>
      <w:r w:rsidR="005F1C33" w:rsidRPr="00B823B2">
        <w:rPr>
          <w:rFonts w:ascii="Times New Roman" w:hAnsi="Times New Roman" w:cs="Times New Roman"/>
          <w:b w:val="0"/>
          <w:sz w:val="26"/>
          <w:szCs w:val="26"/>
        </w:rPr>
        <w:t>»</w:t>
      </w:r>
      <w:r w:rsidR="00BC3856">
        <w:rPr>
          <w:rFonts w:ascii="Times New Roman" w:hAnsi="Times New Roman" w:cs="Times New Roman"/>
          <w:b w:val="0"/>
          <w:sz w:val="26"/>
          <w:szCs w:val="26"/>
        </w:rPr>
        <w:t xml:space="preserve"> августа</w:t>
      </w:r>
      <w:r w:rsidR="005F1C33" w:rsidRPr="00B823B2">
        <w:rPr>
          <w:rFonts w:ascii="Times New Roman" w:hAnsi="Times New Roman" w:cs="Times New Roman"/>
          <w:b w:val="0"/>
          <w:sz w:val="26"/>
          <w:szCs w:val="26"/>
        </w:rPr>
        <w:t xml:space="preserve"> 2020 г.</w:t>
      </w:r>
      <w:r w:rsidRPr="00B823B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C3856">
        <w:rPr>
          <w:rFonts w:ascii="Times New Roman" w:hAnsi="Times New Roman" w:cs="Times New Roman"/>
          <w:b w:val="0"/>
          <w:sz w:val="26"/>
          <w:szCs w:val="26"/>
        </w:rPr>
        <w:t>497</w:t>
      </w: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823B2">
        <w:rPr>
          <w:rFonts w:ascii="Times New Roman" w:hAnsi="Times New Roman" w:cs="Times New Roman"/>
          <w:b w:val="0"/>
          <w:sz w:val="26"/>
          <w:szCs w:val="26"/>
        </w:rPr>
        <w:t xml:space="preserve">Перечень мероприятий </w:t>
      </w:r>
    </w:p>
    <w:p w:rsidR="005F1C33" w:rsidRPr="00B823B2" w:rsidRDefault="005F1C33" w:rsidP="000B28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823B2">
        <w:rPr>
          <w:rFonts w:ascii="Times New Roman" w:hAnsi="Times New Roman" w:cs="Times New Roman"/>
          <w:b w:val="0"/>
          <w:sz w:val="26"/>
          <w:szCs w:val="26"/>
        </w:rPr>
        <w:t xml:space="preserve">по организации бесплатного горячего питания 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 в указанных образовательных организациях </w:t>
      </w:r>
      <w:r w:rsidR="000B286E" w:rsidRPr="00B823B2">
        <w:rPr>
          <w:rFonts w:ascii="Times New Roman" w:hAnsi="Times New Roman" w:cs="Times New Roman"/>
          <w:b w:val="0"/>
          <w:sz w:val="26"/>
          <w:szCs w:val="26"/>
        </w:rPr>
        <w:t>Мариинско-Посадского района</w:t>
      </w: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823B2">
        <w:rPr>
          <w:rFonts w:ascii="Times New Roman" w:hAnsi="Times New Roman" w:cs="Times New Roman"/>
          <w:b w:val="0"/>
          <w:sz w:val="26"/>
          <w:szCs w:val="26"/>
        </w:rPr>
        <w:t>(далее – Дорожная карта)</w:t>
      </w: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823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1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4"/>
        <w:gridCol w:w="4675"/>
        <w:gridCol w:w="4671"/>
      </w:tblGrid>
      <w:tr w:rsidR="005F1C33" w:rsidRPr="00B823B2" w:rsidTr="005F1C33">
        <w:trPr>
          <w:trHeight w:val="482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Ответственные должностные лица за реализацию Дорожной карты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ФИО, должность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</w:tr>
      <w:tr w:rsidR="005F1C33" w:rsidRPr="00112EE0" w:rsidTr="005F1C33">
        <w:trPr>
          <w:trHeight w:val="684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195D0B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Руководитель, организующий и контролирующий реализацию мер Дорожной карты в </w:t>
            </w:r>
            <w:r w:rsidR="00195D0B" w:rsidRPr="00B823B2">
              <w:rPr>
                <w:rFonts w:ascii="Times New Roman" w:hAnsi="Times New Roman" w:cs="Times New Roman"/>
                <w:sz w:val="26"/>
                <w:szCs w:val="26"/>
              </w:rPr>
              <w:t>Мариинско-Посадском районе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B" w:rsidRPr="00B823B2" w:rsidRDefault="00195D0B" w:rsidP="00195D0B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– </w:t>
            </w:r>
          </w:p>
          <w:p w:rsidR="00195D0B" w:rsidRPr="00B823B2" w:rsidRDefault="00195D0B" w:rsidP="00195D0B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культуры и </w:t>
            </w:r>
          </w:p>
          <w:p w:rsidR="005F1C33" w:rsidRPr="00B823B2" w:rsidRDefault="00195D0B" w:rsidP="00195D0B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развития                                                                                   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8(83542) 2-11-89</w:t>
            </w:r>
          </w:p>
          <w:p w:rsidR="005F1C33" w:rsidRPr="00B823B2" w:rsidRDefault="005F1C33" w:rsidP="00FA7C22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marpos2</w:t>
            </w: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@cap.ru</w:t>
            </w:r>
          </w:p>
        </w:tc>
      </w:tr>
      <w:tr w:rsidR="005F1C33" w:rsidRPr="00112EE0" w:rsidTr="005F1C33">
        <w:trPr>
          <w:trHeight w:val="281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FA7C22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Дорожной карты в 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</w:rPr>
              <w:t>Мариинско-Посадском районе Чувашской Республики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FA7C22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</w:rPr>
              <w:t>образования и молодежной политики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(835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  <w:p w:rsidR="005F1C33" w:rsidRPr="00B823B2" w:rsidRDefault="005F1C33" w:rsidP="00FA7C22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r w:rsidR="00FA7C22"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marpos_</w:t>
            </w: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obrazov@cap.ru</w:t>
            </w:r>
          </w:p>
        </w:tc>
      </w:tr>
      <w:tr w:rsidR="005F1C33" w:rsidRPr="00B823B2" w:rsidTr="005F1C33">
        <w:trPr>
          <w:trHeight w:val="147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783335" w:rsidP="00112EE0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Руководители общеобразовательных организаций Мариинско-Посадского района Чувашской Респ</w:t>
            </w:r>
            <w:r w:rsidR="00112EE0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лики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1C33" w:rsidRPr="00B823B2" w:rsidRDefault="005F1C33" w:rsidP="005F1C33">
      <w:pPr>
        <w:rPr>
          <w:sz w:val="26"/>
          <w:szCs w:val="26"/>
        </w:rPr>
      </w:pPr>
    </w:p>
    <w:tbl>
      <w:tblPr>
        <w:tblW w:w="151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4"/>
        <w:gridCol w:w="4675"/>
        <w:gridCol w:w="4671"/>
      </w:tblGrid>
      <w:tr w:rsidR="005F1C33" w:rsidRPr="00B823B2" w:rsidTr="005F1C33">
        <w:trPr>
          <w:trHeight w:val="409"/>
        </w:trPr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8A1A35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работ по обеспечению 100% охвата бесплатным горячим питанием обучающихся 1–4 классов в </w:t>
            </w:r>
            <w:r w:rsidR="008A1A35" w:rsidRPr="00B823B2">
              <w:rPr>
                <w:rFonts w:ascii="Times New Roman" w:hAnsi="Times New Roman" w:cs="Times New Roman"/>
                <w:sz w:val="26"/>
                <w:szCs w:val="26"/>
              </w:rPr>
              <w:t>Мариинско-Посадском районе Чувашской Республики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(начало/завершение)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Дата начала работ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Дата завершения работ</w:t>
            </w:r>
          </w:p>
        </w:tc>
      </w:tr>
      <w:tr w:rsidR="005F1C33" w:rsidRPr="00B823B2" w:rsidTr="005F1C33">
        <w:trPr>
          <w:trHeight w:val="61"/>
        </w:trPr>
        <w:tc>
          <w:tcPr>
            <w:tcW w:w="5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01.04.2020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01.09.2020</w:t>
            </w:r>
          </w:p>
        </w:tc>
      </w:tr>
    </w:tbl>
    <w:p w:rsidR="005F1C33" w:rsidRPr="00B823B2" w:rsidRDefault="005F1C33" w:rsidP="005F1C33">
      <w:pPr>
        <w:rPr>
          <w:sz w:val="26"/>
          <w:szCs w:val="26"/>
        </w:rPr>
      </w:pPr>
    </w:p>
    <w:tbl>
      <w:tblPr>
        <w:tblW w:w="151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6237"/>
        <w:gridCol w:w="1133"/>
        <w:gridCol w:w="993"/>
        <w:gridCol w:w="1427"/>
        <w:gridCol w:w="1540"/>
        <w:gridCol w:w="1559"/>
        <w:gridCol w:w="1521"/>
      </w:tblGrid>
      <w:tr w:rsidR="005F1C33" w:rsidRPr="00B823B2" w:rsidTr="005F1C33">
        <w:trPr>
          <w:trHeight w:val="257"/>
        </w:trPr>
        <w:tc>
          <w:tcPr>
            <w:tcW w:w="770" w:type="dxa"/>
            <w:vMerge w:val="restart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126" w:type="dxa"/>
            <w:gridSpan w:val="2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Базовое значение  </w:t>
            </w:r>
          </w:p>
        </w:tc>
        <w:tc>
          <w:tcPr>
            <w:tcW w:w="6047" w:type="dxa"/>
            <w:gridSpan w:val="4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Прогнозируемое значение </w:t>
            </w:r>
          </w:p>
        </w:tc>
      </w:tr>
      <w:tr w:rsidR="005F1C33" w:rsidRPr="00B823B2" w:rsidTr="005F1C33">
        <w:trPr>
          <w:trHeight w:val="20"/>
        </w:trPr>
        <w:tc>
          <w:tcPr>
            <w:tcW w:w="770" w:type="dxa"/>
            <w:vMerge/>
          </w:tcPr>
          <w:p w:rsidR="005F1C33" w:rsidRPr="00B823B2" w:rsidRDefault="005F1C33" w:rsidP="005F1C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5F1C33" w:rsidRPr="00B823B2" w:rsidRDefault="005F1C33" w:rsidP="005F1C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</w:p>
        </w:tc>
        <w:tc>
          <w:tcPr>
            <w:tcW w:w="993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27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01.09.2020</w:t>
            </w:r>
          </w:p>
        </w:tc>
        <w:tc>
          <w:tcPr>
            <w:tcW w:w="1540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01.09.2021</w:t>
            </w:r>
          </w:p>
        </w:tc>
        <w:tc>
          <w:tcPr>
            <w:tcW w:w="1559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1521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  <w:tr w:rsidR="005F1C33" w:rsidRPr="00B823B2" w:rsidTr="005F1C33">
        <w:trPr>
          <w:trHeight w:val="20"/>
        </w:trPr>
        <w:tc>
          <w:tcPr>
            <w:tcW w:w="770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237" w:type="dxa"/>
          </w:tcPr>
          <w:p w:rsidR="005F1C33" w:rsidRPr="00B823B2" w:rsidRDefault="005F1C33" w:rsidP="008A1A35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Общее количество  муниципальных образовательных организаций в</w:t>
            </w:r>
            <w:r w:rsidR="008A1A35"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Мариинско-Посадском районе Чувашской Республики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, реализующих образовательную программу начального общего образования, из них:</w:t>
            </w:r>
          </w:p>
        </w:tc>
        <w:tc>
          <w:tcPr>
            <w:tcW w:w="1133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427" w:type="dxa"/>
          </w:tcPr>
          <w:p w:rsidR="005F1C33" w:rsidRPr="00B823B2" w:rsidRDefault="008A1A35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40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5F1C33" w:rsidRPr="00B823B2" w:rsidRDefault="008A1A35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21" w:type="dxa"/>
          </w:tcPr>
          <w:p w:rsidR="005F1C33" w:rsidRPr="00B823B2" w:rsidRDefault="008A1A35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F1C33" w:rsidRPr="00B823B2" w:rsidTr="005F1C33">
        <w:trPr>
          <w:trHeight w:val="20"/>
        </w:trPr>
        <w:tc>
          <w:tcPr>
            <w:tcW w:w="770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237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Общее количество обучающихся по образовательной программе начального общего образования, из них:</w:t>
            </w:r>
          </w:p>
        </w:tc>
        <w:tc>
          <w:tcPr>
            <w:tcW w:w="1133" w:type="dxa"/>
          </w:tcPr>
          <w:p w:rsidR="005F1C33" w:rsidRPr="00B823B2" w:rsidRDefault="00B734DB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797</w:t>
            </w:r>
          </w:p>
        </w:tc>
        <w:tc>
          <w:tcPr>
            <w:tcW w:w="993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427" w:type="dxa"/>
          </w:tcPr>
          <w:p w:rsidR="005F1C33" w:rsidRPr="00B734DB" w:rsidRDefault="00B734DB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832</w:t>
            </w:r>
          </w:p>
        </w:tc>
        <w:tc>
          <w:tcPr>
            <w:tcW w:w="1540" w:type="dxa"/>
          </w:tcPr>
          <w:p w:rsidR="005F1C33" w:rsidRPr="00B734DB" w:rsidRDefault="00B734DB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  <w:tc>
          <w:tcPr>
            <w:tcW w:w="1559" w:type="dxa"/>
          </w:tcPr>
          <w:p w:rsidR="005F1C33" w:rsidRPr="00B734DB" w:rsidRDefault="00B734DB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844</w:t>
            </w:r>
          </w:p>
        </w:tc>
        <w:tc>
          <w:tcPr>
            <w:tcW w:w="1521" w:type="dxa"/>
          </w:tcPr>
          <w:p w:rsidR="005F1C33" w:rsidRPr="00B734DB" w:rsidRDefault="00B734DB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</w:tr>
    </w:tbl>
    <w:p w:rsidR="005F1C33" w:rsidRPr="00B823B2" w:rsidRDefault="005F1C33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D244EA" w:rsidRPr="00B823B2" w:rsidRDefault="00D244EA" w:rsidP="005F1C33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823B2">
        <w:rPr>
          <w:rFonts w:ascii="Times New Roman" w:hAnsi="Times New Roman" w:cs="Times New Roman"/>
          <w:sz w:val="26"/>
          <w:szCs w:val="26"/>
        </w:rPr>
        <w:lastRenderedPageBreak/>
        <w:t>2. Цели, целевые и дополнительные показатели реализации мер Дорожной карты в субъекте Российской Федерации</w:t>
      </w: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7"/>
        <w:gridCol w:w="2127"/>
        <w:gridCol w:w="1067"/>
        <w:gridCol w:w="850"/>
        <w:gridCol w:w="1134"/>
        <w:gridCol w:w="1134"/>
        <w:gridCol w:w="1134"/>
        <w:gridCol w:w="1134"/>
      </w:tblGrid>
      <w:tr w:rsidR="005F1C33" w:rsidRPr="00B823B2" w:rsidTr="00362C67">
        <w:trPr>
          <w:trHeight w:val="257"/>
        </w:trPr>
        <w:tc>
          <w:tcPr>
            <w:tcW w:w="567" w:type="dxa"/>
            <w:vMerge w:val="restart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237" w:type="dxa"/>
            <w:vMerge w:val="restart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Цель, целевой показатель, дополнительный показатель (основной)</w:t>
            </w:r>
          </w:p>
        </w:tc>
        <w:tc>
          <w:tcPr>
            <w:tcW w:w="2127" w:type="dxa"/>
            <w:vMerge w:val="restart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Уровень контроля</w:t>
            </w:r>
          </w:p>
        </w:tc>
        <w:tc>
          <w:tcPr>
            <w:tcW w:w="1917" w:type="dxa"/>
            <w:gridSpan w:val="2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4536" w:type="dxa"/>
            <w:gridSpan w:val="4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Прогнозируемое значение </w:t>
            </w:r>
          </w:p>
        </w:tc>
      </w:tr>
      <w:tr w:rsidR="005F1C33" w:rsidRPr="00B823B2" w:rsidTr="00362C67">
        <w:trPr>
          <w:trHeight w:val="20"/>
        </w:trPr>
        <w:tc>
          <w:tcPr>
            <w:tcW w:w="567" w:type="dxa"/>
            <w:vMerge/>
          </w:tcPr>
          <w:p w:rsidR="005F1C33" w:rsidRPr="00B823B2" w:rsidRDefault="005F1C33" w:rsidP="005F1C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Merge/>
          </w:tcPr>
          <w:p w:rsidR="005F1C33" w:rsidRPr="00B823B2" w:rsidRDefault="005F1C33" w:rsidP="005F1C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</w:p>
        </w:tc>
        <w:tc>
          <w:tcPr>
            <w:tcW w:w="850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01.09.2020</w:t>
            </w:r>
          </w:p>
        </w:tc>
        <w:tc>
          <w:tcPr>
            <w:tcW w:w="1134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01.09.2021</w:t>
            </w:r>
          </w:p>
        </w:tc>
        <w:tc>
          <w:tcPr>
            <w:tcW w:w="1134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1134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  <w:tr w:rsidR="005F1C33" w:rsidRPr="00B823B2" w:rsidTr="00362C67">
        <w:trPr>
          <w:trHeight w:val="1155"/>
        </w:trPr>
        <w:tc>
          <w:tcPr>
            <w:tcW w:w="567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</w:tcPr>
          <w:p w:rsidR="005F1C33" w:rsidRPr="00B823B2" w:rsidRDefault="005F1C33" w:rsidP="009E76B1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Цель: количество и доля (%) обучающихся 1–4 классов муниципальных общеобразовательных организаций, обеспеченных бесплатным горячим питанием (100% на 1 сентября 2023 года)</w:t>
            </w:r>
            <w:r w:rsidRPr="00B823B2">
              <w:rPr>
                <w:rStyle w:val="ab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, из них:</w:t>
            </w:r>
          </w:p>
        </w:tc>
        <w:tc>
          <w:tcPr>
            <w:tcW w:w="2127" w:type="dxa"/>
          </w:tcPr>
          <w:p w:rsidR="005F1C33" w:rsidRPr="00B823B2" w:rsidRDefault="009E76B1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образования и молодежной политики </w:t>
            </w:r>
          </w:p>
        </w:tc>
        <w:tc>
          <w:tcPr>
            <w:tcW w:w="1067" w:type="dxa"/>
          </w:tcPr>
          <w:p w:rsidR="009E76B1" w:rsidRPr="00B823B2" w:rsidRDefault="009E76B1" w:rsidP="009E76B1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F1C33" w:rsidRPr="00B823B2" w:rsidRDefault="009E76B1" w:rsidP="009E76B1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50" w:type="dxa"/>
          </w:tcPr>
          <w:p w:rsidR="005F1C33" w:rsidRPr="00362C67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67">
              <w:rPr>
                <w:rFonts w:ascii="Times New Roman" w:hAnsi="Times New Roman" w:cs="Times New Roman"/>
                <w:sz w:val="24"/>
                <w:szCs w:val="24"/>
              </w:rPr>
              <w:t>20.09. 2019</w:t>
            </w:r>
          </w:p>
        </w:tc>
        <w:tc>
          <w:tcPr>
            <w:tcW w:w="1134" w:type="dxa"/>
          </w:tcPr>
          <w:p w:rsidR="005F1C33" w:rsidRPr="00B734DB" w:rsidRDefault="00B734DB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832</w:t>
            </w:r>
          </w:p>
          <w:p w:rsidR="005F1C33" w:rsidRPr="00B734DB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5F1C33" w:rsidRPr="00B734DB" w:rsidRDefault="00B734DB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  <w:p w:rsidR="005F1C33" w:rsidRPr="00B734DB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5F1C33" w:rsidRPr="00B734DB" w:rsidRDefault="00B734DB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844</w:t>
            </w:r>
          </w:p>
          <w:p w:rsidR="005F1C33" w:rsidRPr="00B734DB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5F1C33" w:rsidRPr="00B734DB" w:rsidRDefault="00B734DB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  <w:p w:rsidR="005F1C33" w:rsidRPr="00B734DB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4D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C0922" w:rsidRPr="00B823B2" w:rsidTr="00362C67">
        <w:trPr>
          <w:trHeight w:val="405"/>
        </w:trPr>
        <w:tc>
          <w:tcPr>
            <w:tcW w:w="567" w:type="dxa"/>
            <w:vAlign w:val="center"/>
          </w:tcPr>
          <w:p w:rsidR="007C0922" w:rsidRPr="00B823B2" w:rsidRDefault="007C0922" w:rsidP="007C092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center"/>
          </w:tcPr>
          <w:p w:rsidR="007C0922" w:rsidRPr="00B823B2" w:rsidRDefault="007C0922" w:rsidP="007C0922">
            <w:pPr>
              <w:pStyle w:val="ConsPlusNormal"/>
              <w:spacing w:line="300" w:lineRule="exac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 доля (%) </w:t>
            </w: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общеобразовательных организаций, в которых осуществляется общественный (родительский) контроль за организацией обязательного бесплатного горячего питания обучающихся 1-4 классов</w:t>
            </w:r>
          </w:p>
        </w:tc>
        <w:tc>
          <w:tcPr>
            <w:tcW w:w="2127" w:type="dxa"/>
          </w:tcPr>
          <w:p w:rsidR="007C0922" w:rsidRPr="00B823B2" w:rsidRDefault="007C0922" w:rsidP="007C0922">
            <w:pPr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Начальник отдела образования и молодежной политики</w:t>
            </w:r>
          </w:p>
        </w:tc>
        <w:tc>
          <w:tcPr>
            <w:tcW w:w="1067" w:type="dxa"/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850" w:type="dxa"/>
          </w:tcPr>
          <w:p w:rsidR="007C0922" w:rsidRPr="00362C67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67">
              <w:rPr>
                <w:rFonts w:ascii="Times New Roman" w:hAnsi="Times New Roman" w:cs="Times New Roman"/>
                <w:sz w:val="24"/>
                <w:szCs w:val="24"/>
              </w:rPr>
              <w:t>20.09. 2019</w:t>
            </w:r>
          </w:p>
        </w:tc>
        <w:tc>
          <w:tcPr>
            <w:tcW w:w="1134" w:type="dxa"/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C0922" w:rsidRPr="00B823B2" w:rsidTr="00362C6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22" w:rsidRPr="00B823B2" w:rsidRDefault="007C0922" w:rsidP="007C092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2" w:rsidRPr="00B823B2" w:rsidRDefault="007C0922" w:rsidP="007C0922">
            <w:pPr>
              <w:pStyle w:val="ConsPlusNormal"/>
              <w:spacing w:line="300" w:lineRule="exac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Включение в муниципальную программу Мариинско-Посадского района Чувашской Республики «Развитие образования на 2019-2035 годы» мероприятий по организации бесплатного горячего питания обучающихся1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 классов  государственных и муниципальных образовательных организаций (далее – Программа)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C0922" w:rsidRPr="00B823B2" w:rsidRDefault="007C0922" w:rsidP="007C0922">
            <w:pPr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Начальник отдела образования и молодежной политики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2" w:rsidRPr="00362C67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67">
              <w:rPr>
                <w:rFonts w:ascii="Times New Roman" w:hAnsi="Times New Roman" w:cs="Times New Roman"/>
                <w:sz w:val="24"/>
                <w:szCs w:val="24"/>
              </w:rPr>
              <w:t>20.09. 2019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2" w:rsidRPr="00B823B2" w:rsidRDefault="007C0922" w:rsidP="007C092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5F1C33" w:rsidRPr="00B823B2" w:rsidTr="00362C6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Региональный стандарт оказания услуги по обеспечению горячим питанием обучающихся </w:t>
            </w: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br/>
              <w:t>1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 классов государственных и муниципальных образовательных организаций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85582F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образования и молодежной политики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</w:tbl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823B2">
        <w:rPr>
          <w:rFonts w:ascii="Times New Roman" w:hAnsi="Times New Roman" w:cs="Times New Roman"/>
          <w:sz w:val="26"/>
          <w:szCs w:val="26"/>
        </w:rPr>
        <w:t>3. Задачи и перечень мер Дорожной карты</w:t>
      </w: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F1C33" w:rsidRPr="00B823B2" w:rsidRDefault="005F1C33" w:rsidP="005F1C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23B2">
        <w:rPr>
          <w:rFonts w:ascii="Times New Roman" w:hAnsi="Times New Roman" w:cs="Times New Roman"/>
          <w:b/>
          <w:sz w:val="26"/>
          <w:szCs w:val="26"/>
        </w:rPr>
        <w:t xml:space="preserve">Задача 1. </w:t>
      </w:r>
      <w:r w:rsidRPr="00B823B2">
        <w:rPr>
          <w:rFonts w:ascii="Times New Roman" w:hAnsi="Times New Roman" w:cs="Times New Roman"/>
          <w:sz w:val="26"/>
          <w:szCs w:val="26"/>
        </w:rPr>
        <w:t xml:space="preserve">Достижение по итогам 2023 года 100% обеспечения бесплатным горячим питанием обучающихся 1–4 классов </w:t>
      </w:r>
    </w:p>
    <w:p w:rsidR="005F1C33" w:rsidRPr="00B823B2" w:rsidRDefault="005F1C33" w:rsidP="005F1C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2"/>
        <w:gridCol w:w="6620"/>
        <w:gridCol w:w="1419"/>
        <w:gridCol w:w="3260"/>
        <w:gridCol w:w="3260"/>
      </w:tblGrid>
      <w:tr w:rsidR="005F1C33" w:rsidRPr="00B823B2" w:rsidTr="005F1C33">
        <w:trPr>
          <w:trHeight w:val="446"/>
        </w:trPr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20" w:type="dxa"/>
            <w:tcBorders>
              <w:bottom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исполнитель/соисполнитель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5F1C33" w:rsidRPr="00B823B2" w:rsidTr="005F1C33">
        <w:trPr>
          <w:trHeight w:val="446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620" w:type="dxa"/>
            <w:tcBorders>
              <w:top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Программы на 2020-2023 годы, </w:t>
            </w:r>
            <w:r w:rsidR="00DF4D8A"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иных нормативных правовых актов Мариинско-Посадского района 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Чувашской Республик</w:t>
            </w:r>
            <w:r w:rsidR="00DF4D8A" w:rsidRPr="00B823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Положение об осуществлении общественного (родительского) контроля за организацией обязательного бесплатного горячего питания обучающихся 1-4 классов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1C33" w:rsidRPr="00B823B2" w:rsidRDefault="00DF4D8A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 и молодежной политики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1C33" w:rsidRPr="00B823B2" w:rsidRDefault="005F1C33" w:rsidP="00DF4D8A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Утверждена Программа, иные нормативные правовые акты </w:t>
            </w:r>
            <w:r w:rsidR="00DF4D8A"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Мариинско-Посадского района Чувашской Республики</w:t>
            </w:r>
          </w:p>
        </w:tc>
      </w:tr>
      <w:tr w:rsidR="005F1C33" w:rsidRPr="00B823B2" w:rsidTr="005F1C33">
        <w:trPr>
          <w:trHeight w:val="44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15CF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15C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и согласование в установленном порядке меню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DF4D8A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DF4D8A" w:rsidRPr="00B823B2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Наличие утвержденного и согласованного в установленном порядке меню</w:t>
            </w:r>
          </w:p>
        </w:tc>
      </w:tr>
      <w:tr w:rsidR="005F1C33" w:rsidRPr="00B823B2" w:rsidTr="005F1C33">
        <w:trPr>
          <w:trHeight w:val="44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15CF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15C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и согласование в установленном порядке меню для детей, нуждающихся в специализированном  питании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B3" w:rsidRPr="00B823B2" w:rsidRDefault="000F5AB3" w:rsidP="000F5AB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  <w:p w:rsidR="005F1C33" w:rsidRPr="00B823B2" w:rsidRDefault="000F5AB3" w:rsidP="00471CC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образовательных 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утвержденного и согласованного в установленном порядке меню для детей, 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нуждающихся в специализированном питании (диабет, </w:t>
            </w:r>
            <w:proofErr w:type="spellStart"/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целиакия</w:t>
            </w:r>
            <w:proofErr w:type="spellEnd"/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</w:tr>
      <w:tr w:rsidR="005F1C33" w:rsidRPr="00B823B2" w:rsidTr="005F1C33">
        <w:trPr>
          <w:trHeight w:val="44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15CF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515C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Мониторинг охвата обучающихся бесплатным горячим питанием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0F5AB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Постоянный мониторинг охвата обучающихся питанием</w:t>
            </w:r>
          </w:p>
        </w:tc>
      </w:tr>
      <w:tr w:rsidR="005F1C33" w:rsidRPr="00B823B2" w:rsidTr="005F1C33">
        <w:trPr>
          <w:trHeight w:val="44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15CF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15C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производственного контроля за качеством продуктов питания и услуги по организации питания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с 01.12.2020 и далее 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B3" w:rsidRPr="00B823B2" w:rsidRDefault="000F5AB3" w:rsidP="000F5AB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  <w:p w:rsidR="005F1C33" w:rsidRPr="00B823B2" w:rsidRDefault="000F5AB3" w:rsidP="00471CC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Обеспечение производственного контроля за качеством продуктов питания и услуги по организации питания</w:t>
            </w:r>
          </w:p>
        </w:tc>
      </w:tr>
      <w:tr w:rsidR="005F1C33" w:rsidRPr="00B823B2" w:rsidTr="005F1C33">
        <w:trPr>
          <w:trHeight w:val="446"/>
        </w:trPr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BB3" w:rsidRPr="00B823B2" w:rsidRDefault="00E45BB3" w:rsidP="005F1C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в 1–4 классах</w:t>
            </w:r>
          </w:p>
        </w:tc>
      </w:tr>
      <w:tr w:rsidR="005F1C33" w:rsidRPr="00B823B2" w:rsidTr="005F1C33">
        <w:trPr>
          <w:trHeight w:val="388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20" w:type="dxa"/>
            <w:tcBorders>
              <w:top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исполнитель/ соисполнители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5F1C33" w:rsidRPr="00B823B2" w:rsidTr="005F1C33">
        <w:trPr>
          <w:trHeight w:val="1321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Проведение аудита пищеблоков и обеденных залов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Ежегодно, начиная 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с 1 января 2021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90" w:rsidRPr="00B823B2" w:rsidRDefault="005F1C33" w:rsidP="00C27190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7190"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  <w:p w:rsidR="005F1C33" w:rsidRPr="00B823B2" w:rsidRDefault="005F1C33" w:rsidP="00C27190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Наличие фактических показателей состояния пищеблоков и столовых; определение проблем и формирование механизмов их решения </w:t>
            </w:r>
          </w:p>
        </w:tc>
      </w:tr>
      <w:tr w:rsidR="005F1C33" w:rsidRPr="00B823B2" w:rsidTr="005F1C33">
        <w:trPr>
          <w:trHeight w:val="446"/>
        </w:trPr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Мониторинг соответствия школьных пищеблоков и столовых единому региональному стандарту оказания услуги по обеспечению горячим питанием обучающихся 1–4 классов государственных и муниципальных образовательных организаций (в т.ч. укомплектованность персоналом)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C27190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C27190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</w:t>
            </w:r>
            <w:r w:rsidR="00C27190" w:rsidRPr="00B823B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рограмм</w:t>
            </w:r>
            <w:r w:rsidR="00C27190" w:rsidRPr="00B823B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результатов мониторинга соответствия школьных пищеблоков единому региональному стандарту оказания услуги по обеспечению горячим питанием обучающихся 1–4 классов  муниципальных образовательных организаций</w:t>
            </w:r>
          </w:p>
        </w:tc>
      </w:tr>
      <w:tr w:rsidR="005F1C33" w:rsidRPr="00B823B2" w:rsidTr="005F1C33">
        <w:trPr>
          <w:trHeight w:val="236"/>
        </w:trPr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7190" w:rsidRPr="00B823B2" w:rsidRDefault="00C27190" w:rsidP="005F1C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7190" w:rsidRPr="00B823B2" w:rsidRDefault="00C27190" w:rsidP="005F1C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b/>
                <w:sz w:val="26"/>
                <w:szCs w:val="26"/>
              </w:rPr>
              <w:t>Задача 3.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организации обязательного горячего питания обучающихся 1–4 классов</w:t>
            </w:r>
          </w:p>
        </w:tc>
      </w:tr>
      <w:tr w:rsidR="005F1C33" w:rsidRPr="00B823B2" w:rsidTr="005F1C33">
        <w:trPr>
          <w:trHeight w:val="446"/>
        </w:trPr>
        <w:tc>
          <w:tcPr>
            <w:tcW w:w="708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662" w:type="dxa"/>
            <w:gridSpan w:val="2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419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260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исполнитель/ соисполнители</w:t>
            </w:r>
          </w:p>
        </w:tc>
        <w:tc>
          <w:tcPr>
            <w:tcW w:w="3260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5F1C33" w:rsidRPr="00B823B2" w:rsidTr="005F1C33">
        <w:trPr>
          <w:trHeight w:val="4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Обеспечение общественного (родительского) контроля за организацией питания обучающихся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bookmarkStart w:id="0" w:name="_GoBack"/>
            <w:bookmarkEnd w:id="0"/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8032A7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Общественный (родительский) контроль за организацией питания обучающихся</w:t>
            </w:r>
          </w:p>
        </w:tc>
      </w:tr>
      <w:tr w:rsidR="005F1C33" w:rsidRPr="00B823B2" w:rsidTr="005F1C33">
        <w:trPr>
          <w:trHeight w:val="4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7" w:rsidRPr="00B823B2" w:rsidRDefault="008032A7" w:rsidP="008032A7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  <w:p w:rsidR="005F1C33" w:rsidRPr="00B823B2" w:rsidRDefault="008032A7" w:rsidP="00471CC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Обеспечение открытости информации об условиях организации питания детей, в том числе ежедневном меню</w:t>
            </w:r>
          </w:p>
        </w:tc>
      </w:tr>
      <w:tr w:rsidR="005F1C33" w:rsidRPr="00B823B2" w:rsidTr="005F1C33">
        <w:trPr>
          <w:trHeight w:val="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7" w:rsidRPr="00B823B2" w:rsidRDefault="008032A7" w:rsidP="008032A7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  <w:p w:rsidR="005F1C33" w:rsidRPr="00B823B2" w:rsidRDefault="008032A7" w:rsidP="00471CC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полезных привычек в питании обучающихся 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1C33" w:rsidRPr="00B823B2" w:rsidTr="005F1C33">
        <w:trPr>
          <w:trHeight w:val="20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8032A7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повышение квалификации кадров, участвующих в организации питания в образовательных организациях: поваров, медицинских специалистов/ диетсестер, организаторов питания (руководителей) для муниципальных органов управления, в образовательных организациях, частных организациях, ответственных за организацию питания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7" w:rsidRPr="00B823B2" w:rsidRDefault="008032A7" w:rsidP="008032A7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</w:t>
            </w:r>
          </w:p>
          <w:p w:rsidR="005F1C33" w:rsidRPr="00B823B2" w:rsidRDefault="008032A7" w:rsidP="00471CC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Обеспеченность квалифицированными  кадрами предприятий по обеспечению питанием в образовательных организациях, школьных столовых</w:t>
            </w:r>
          </w:p>
        </w:tc>
      </w:tr>
    </w:tbl>
    <w:p w:rsidR="005F1C33" w:rsidRDefault="005F1C33" w:rsidP="005F1C33">
      <w:pPr>
        <w:rPr>
          <w:sz w:val="26"/>
          <w:szCs w:val="26"/>
        </w:rPr>
      </w:pPr>
    </w:p>
    <w:tbl>
      <w:tblPr>
        <w:tblW w:w="16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2"/>
        <w:gridCol w:w="1419"/>
        <w:gridCol w:w="3402"/>
        <w:gridCol w:w="3906"/>
        <w:gridCol w:w="712"/>
      </w:tblGrid>
      <w:tr w:rsidR="00750060" w:rsidRPr="00750060" w:rsidTr="00750060">
        <w:trPr>
          <w:trHeight w:val="236"/>
        </w:trPr>
        <w:tc>
          <w:tcPr>
            <w:tcW w:w="161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060" w:rsidRPr="00750060" w:rsidRDefault="00750060" w:rsidP="00750060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Дополнительные мероприятия субъекта Российской Федерации</w:t>
            </w:r>
          </w:p>
          <w:p w:rsidR="00750060" w:rsidRPr="00750060" w:rsidRDefault="00750060" w:rsidP="00750060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00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0060" w:rsidRPr="00750060" w:rsidTr="00750060">
        <w:trPr>
          <w:gridAfter w:val="1"/>
          <w:wAfter w:w="712" w:type="dxa"/>
          <w:trHeight w:val="446"/>
        </w:trPr>
        <w:tc>
          <w:tcPr>
            <w:tcW w:w="6662" w:type="dxa"/>
          </w:tcPr>
          <w:p w:rsidR="00750060" w:rsidRPr="00750060" w:rsidRDefault="00750060" w:rsidP="007500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419" w:type="dxa"/>
          </w:tcPr>
          <w:p w:rsidR="00750060" w:rsidRPr="00750060" w:rsidRDefault="00750060" w:rsidP="007500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402" w:type="dxa"/>
          </w:tcPr>
          <w:p w:rsidR="00750060" w:rsidRPr="00750060" w:rsidRDefault="00750060" w:rsidP="007500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 соисполнители</w:t>
            </w:r>
          </w:p>
        </w:tc>
        <w:tc>
          <w:tcPr>
            <w:tcW w:w="3906" w:type="dxa"/>
          </w:tcPr>
          <w:p w:rsidR="00750060" w:rsidRPr="00750060" w:rsidRDefault="00750060" w:rsidP="007500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50060" w:rsidRPr="00750060" w:rsidTr="00750060">
        <w:trPr>
          <w:gridAfter w:val="1"/>
          <w:wAfter w:w="712" w:type="dxa"/>
          <w:trHeight w:val="44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60" w:rsidRPr="00750060" w:rsidRDefault="00750060" w:rsidP="00750060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60" w:rsidRPr="00750060" w:rsidRDefault="00750060" w:rsidP="007500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60" w:rsidRPr="00750060" w:rsidRDefault="00750060" w:rsidP="007500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60" w:rsidRPr="00750060" w:rsidRDefault="00750060" w:rsidP="007500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060" w:rsidRPr="00B823B2" w:rsidRDefault="00750060" w:rsidP="005F1C33">
      <w:pPr>
        <w:rPr>
          <w:sz w:val="26"/>
          <w:szCs w:val="26"/>
        </w:rPr>
      </w:pPr>
    </w:p>
    <w:tbl>
      <w:tblPr>
        <w:tblW w:w="154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2"/>
        <w:gridCol w:w="6662"/>
        <w:gridCol w:w="1209"/>
        <w:gridCol w:w="67"/>
        <w:gridCol w:w="992"/>
        <w:gridCol w:w="41"/>
        <w:gridCol w:w="101"/>
        <w:gridCol w:w="779"/>
        <w:gridCol w:w="213"/>
        <w:gridCol w:w="997"/>
        <w:gridCol w:w="137"/>
        <w:gridCol w:w="1073"/>
        <w:gridCol w:w="61"/>
        <w:gridCol w:w="1134"/>
        <w:gridCol w:w="15"/>
        <w:gridCol w:w="1224"/>
      </w:tblGrid>
      <w:tr w:rsidR="005F1C33" w:rsidRPr="00B823B2" w:rsidTr="005F1C33">
        <w:trPr>
          <w:trHeight w:val="614"/>
        </w:trPr>
        <w:tc>
          <w:tcPr>
            <w:tcW w:w="709" w:type="dxa"/>
            <w:gridSpan w:val="2"/>
            <w:vAlign w:val="center"/>
          </w:tcPr>
          <w:p w:rsidR="005F1C33" w:rsidRPr="00B823B2" w:rsidRDefault="00C20A87" w:rsidP="005F1C33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5F1C33" w:rsidRPr="00B823B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662" w:type="dxa"/>
            <w:vAlign w:val="center"/>
          </w:tcPr>
          <w:p w:rsidR="005F1C33" w:rsidRPr="00B823B2" w:rsidRDefault="005F1C33" w:rsidP="005F1C33">
            <w:pPr>
              <w:pStyle w:val="ConsPlusNormal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B823B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Дополнительные показатели достижения результатов к каждой из задач раздела 3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r w:rsidRPr="00B823B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Задачи и перечень мер Дорожной карты»</w:t>
            </w:r>
          </w:p>
        </w:tc>
        <w:tc>
          <w:tcPr>
            <w:tcW w:w="8043" w:type="dxa"/>
            <w:gridSpan w:val="14"/>
          </w:tcPr>
          <w:p w:rsidR="005F1C33" w:rsidRPr="00B823B2" w:rsidRDefault="005F1C33" w:rsidP="005F1C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Отв.: </w:t>
            </w:r>
            <w:r w:rsidR="008032A7"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и молодежной политики </w:t>
            </w:r>
            <w:r w:rsidR="008032A7"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Мариинско-Посадского района 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5F1C33" w:rsidRPr="00B823B2" w:rsidRDefault="005F1C33" w:rsidP="008032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5F1C33" w:rsidRPr="00B823B2" w:rsidTr="005F1C33">
        <w:trPr>
          <w:trHeight w:val="28"/>
        </w:trPr>
        <w:tc>
          <w:tcPr>
            <w:tcW w:w="15414" w:type="dxa"/>
            <w:gridSpan w:val="17"/>
          </w:tcPr>
          <w:p w:rsidR="005F1C33" w:rsidRPr="00B823B2" w:rsidRDefault="005F1C33" w:rsidP="005F1C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Показатели к задаче 1. 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Достижение к 1 сентября 2023 года 100% обеспечения бесплатным горячим питанием обучающихся 1</w:t>
            </w: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–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4 классов </w:t>
            </w:r>
          </w:p>
        </w:tc>
      </w:tr>
      <w:tr w:rsidR="005F1C33" w:rsidRPr="00B823B2" w:rsidTr="005F1C33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Цель, целевой показатель, дополнительный показатель (основной)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Уровень контроля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Базовое значение  </w:t>
            </w: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Прогнозируемое значение</w:t>
            </w:r>
          </w:p>
        </w:tc>
      </w:tr>
      <w:tr w:rsidR="005F1C33" w:rsidRPr="00B823B2" w:rsidTr="005F1C33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</w:p>
        </w:tc>
        <w:tc>
          <w:tcPr>
            <w:tcW w:w="880" w:type="dxa"/>
            <w:gridSpan w:val="2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210" w:type="dxa"/>
            <w:gridSpan w:val="2"/>
          </w:tcPr>
          <w:p w:rsidR="005F1C33" w:rsidRPr="00B823B2" w:rsidRDefault="005F1C33" w:rsidP="005F1C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01.09.2020</w:t>
            </w:r>
          </w:p>
        </w:tc>
        <w:tc>
          <w:tcPr>
            <w:tcW w:w="1210" w:type="dxa"/>
            <w:gridSpan w:val="2"/>
          </w:tcPr>
          <w:p w:rsidR="005F1C33" w:rsidRPr="00B823B2" w:rsidRDefault="005F1C33" w:rsidP="005F1C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01.09.2021</w:t>
            </w:r>
          </w:p>
        </w:tc>
        <w:tc>
          <w:tcPr>
            <w:tcW w:w="1210" w:type="dxa"/>
            <w:gridSpan w:val="3"/>
          </w:tcPr>
          <w:p w:rsidR="005F1C33" w:rsidRPr="00B823B2" w:rsidRDefault="005F1C33" w:rsidP="005F1C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  <w:tc>
          <w:tcPr>
            <w:tcW w:w="1224" w:type="dxa"/>
          </w:tcPr>
          <w:p w:rsidR="005F1C33" w:rsidRPr="00B823B2" w:rsidRDefault="005F1C33" w:rsidP="005F1C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  <w:tr w:rsidR="005F1C33" w:rsidRPr="00B823B2" w:rsidTr="005F1C33">
        <w:trPr>
          <w:trHeight w:val="95"/>
        </w:trPr>
        <w:tc>
          <w:tcPr>
            <w:tcW w:w="567" w:type="dxa"/>
            <w:vMerge w:val="restart"/>
            <w:vAlign w:val="center"/>
          </w:tcPr>
          <w:p w:rsidR="005F1C33" w:rsidRPr="00B823B2" w:rsidRDefault="005F1C33" w:rsidP="005F1C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</w:tc>
        <w:tc>
          <w:tcPr>
            <w:tcW w:w="6804" w:type="dxa"/>
            <w:gridSpan w:val="2"/>
            <w:vAlign w:val="center"/>
          </w:tcPr>
          <w:p w:rsidR="005F1C33" w:rsidRPr="00B823B2" w:rsidRDefault="005F1C33" w:rsidP="005F1C33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 доля (%) </w:t>
            </w: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общеобразовательных организаций, в которых утверждено и согласовано в установленном порядке меню:</w:t>
            </w:r>
          </w:p>
          <w:p w:rsidR="005F1C33" w:rsidRPr="00B823B2" w:rsidRDefault="005F1C33" w:rsidP="005F1C33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а) для всех обучающихся  (не менее 2 вариантов)</w:t>
            </w:r>
          </w:p>
        </w:tc>
        <w:tc>
          <w:tcPr>
            <w:tcW w:w="1209" w:type="dxa"/>
            <w:vAlign w:val="bottom"/>
          </w:tcPr>
          <w:p w:rsidR="005F1C33" w:rsidRPr="00B823B2" w:rsidRDefault="00DB340F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 w:rsidR="005F1C33"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0" w:type="dxa"/>
            <w:gridSpan w:val="3"/>
            <w:vAlign w:val="bottom"/>
          </w:tcPr>
          <w:p w:rsidR="005F1C33" w:rsidRPr="00B823B2" w:rsidRDefault="00480E3F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480E3F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="005F1C33" w:rsidRPr="00B823B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80" w:type="dxa"/>
            <w:gridSpan w:val="2"/>
            <w:vAlign w:val="bottom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210" w:type="dxa"/>
            <w:gridSpan w:val="2"/>
            <w:vAlign w:val="bottom"/>
          </w:tcPr>
          <w:p w:rsidR="005F1C33" w:rsidRPr="00B823B2" w:rsidRDefault="00480E3F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480E3F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  <w:r w:rsidR="005F1C33" w:rsidRPr="00B823B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10" w:type="dxa"/>
            <w:gridSpan w:val="2"/>
            <w:vAlign w:val="bottom"/>
          </w:tcPr>
          <w:p w:rsidR="005F1C33" w:rsidRPr="00B823B2" w:rsidRDefault="00480E3F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480E3F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="005F1C33" w:rsidRPr="00B823B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10" w:type="dxa"/>
            <w:gridSpan w:val="3"/>
            <w:vAlign w:val="bottom"/>
          </w:tcPr>
          <w:p w:rsidR="005F1C33" w:rsidRPr="00B823B2" w:rsidRDefault="00480E3F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480E3F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="005F1C33" w:rsidRPr="00B823B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24" w:type="dxa"/>
            <w:vAlign w:val="bottom"/>
          </w:tcPr>
          <w:p w:rsidR="005F1C33" w:rsidRPr="00B823B2" w:rsidRDefault="00092321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B340F" w:rsidRPr="00B823B2" w:rsidTr="004344C7">
        <w:trPr>
          <w:trHeight w:val="329"/>
        </w:trPr>
        <w:tc>
          <w:tcPr>
            <w:tcW w:w="567" w:type="dxa"/>
            <w:vMerge/>
            <w:vAlign w:val="center"/>
          </w:tcPr>
          <w:p w:rsidR="00DB340F" w:rsidRPr="00B823B2" w:rsidRDefault="00DB340F" w:rsidP="00DB34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DB340F" w:rsidRPr="00B823B2" w:rsidRDefault="00DB340F" w:rsidP="00DB340F">
            <w:pPr>
              <w:pStyle w:val="ConsPlusNormal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б) для детей,  нуждающихся в специализированном питании</w:t>
            </w:r>
          </w:p>
        </w:tc>
        <w:tc>
          <w:tcPr>
            <w:tcW w:w="1209" w:type="dxa"/>
          </w:tcPr>
          <w:p w:rsidR="00DB340F" w:rsidRPr="00B823B2" w:rsidRDefault="00DB340F" w:rsidP="00DB340F">
            <w:pPr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100" w:type="dxa"/>
            <w:gridSpan w:val="3"/>
            <w:vAlign w:val="bottom"/>
          </w:tcPr>
          <w:p w:rsidR="00DB340F" w:rsidRPr="00B823B2" w:rsidRDefault="00480E3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480E3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B340F" w:rsidRPr="00B823B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80" w:type="dxa"/>
            <w:gridSpan w:val="2"/>
            <w:vAlign w:val="bottom"/>
          </w:tcPr>
          <w:p w:rsidR="00DB340F" w:rsidRPr="00B823B2" w:rsidRDefault="00DB340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210" w:type="dxa"/>
            <w:gridSpan w:val="2"/>
            <w:vAlign w:val="bottom"/>
          </w:tcPr>
          <w:p w:rsidR="00DB340F" w:rsidRPr="00B823B2" w:rsidRDefault="00480E3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480E3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B340F" w:rsidRPr="00B823B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10" w:type="dxa"/>
            <w:gridSpan w:val="2"/>
            <w:vAlign w:val="bottom"/>
          </w:tcPr>
          <w:p w:rsidR="00DB340F" w:rsidRPr="00B823B2" w:rsidRDefault="00DB340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480E3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B340F" w:rsidRPr="00B823B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10" w:type="dxa"/>
            <w:gridSpan w:val="3"/>
            <w:vAlign w:val="bottom"/>
          </w:tcPr>
          <w:p w:rsidR="00DB340F" w:rsidRPr="00B823B2" w:rsidRDefault="00480E3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480E3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B340F" w:rsidRPr="00B823B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24" w:type="dxa"/>
            <w:vAlign w:val="bottom"/>
          </w:tcPr>
          <w:p w:rsidR="00DB340F" w:rsidRPr="00B823B2" w:rsidRDefault="00092321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B340F" w:rsidRPr="00B823B2" w:rsidRDefault="00DB340F" w:rsidP="00DB34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B340F" w:rsidRPr="00B823B2" w:rsidTr="004344C7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F" w:rsidRPr="00B823B2" w:rsidRDefault="00DB340F" w:rsidP="00DB340F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Количество и доля (%) общеобразовательных организаций, подключенных к единой региональной информационной системе учета и мониторинга организации питания обучающихся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F" w:rsidRPr="00B823B2" w:rsidRDefault="004E7368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B340F" w:rsidRPr="00B823B2" w:rsidTr="005F1C3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F" w:rsidRPr="00B823B2" w:rsidRDefault="00DB340F" w:rsidP="00DB340F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1.3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 доля (%) общеобразовательных организаций, в которых: </w:t>
            </w:r>
          </w:p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а) обеспечена возможность выбора блюд детьми и родителями,  в том числе: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092321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B340F" w:rsidRPr="00B823B2" w:rsidTr="005F1C33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0F" w:rsidRPr="00B823B2" w:rsidRDefault="00DB340F" w:rsidP="00DB340F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б) на основе соответствующего программного обеспечения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DB340F" w:rsidP="00DB340F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0F" w:rsidRPr="00B823B2" w:rsidRDefault="00092321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DB340F" w:rsidRPr="00B823B2" w:rsidRDefault="00DB340F" w:rsidP="00DB340F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F1C33" w:rsidRPr="00B823B2" w:rsidTr="005F1C33">
        <w:trPr>
          <w:trHeight w:val="622"/>
        </w:trPr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sz w:val="26"/>
                <w:szCs w:val="26"/>
              </w:rPr>
              <w:br w:type="page"/>
            </w:r>
            <w:r w:rsidRPr="00B823B2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к задаче 2.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обучающихся 1–4 классов</w:t>
            </w:r>
          </w:p>
        </w:tc>
        <w:tc>
          <w:tcPr>
            <w:tcW w:w="804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3B2" w:rsidRPr="00B823B2" w:rsidRDefault="005F1C33" w:rsidP="00B823B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Отв.: </w:t>
            </w:r>
            <w:r w:rsidR="00B823B2" w:rsidRPr="00B823B2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 Мариинско-Посадского района Чувашской Республики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5F1C33" w:rsidRPr="00B823B2" w:rsidTr="005F1C33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Цель, целевой показатель, дополнительный показатель (основной)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Уровень контроля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4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Прогнозируемое значение</w:t>
            </w:r>
          </w:p>
        </w:tc>
      </w:tr>
      <w:tr w:rsidR="005F1C33" w:rsidRPr="00B823B2" w:rsidTr="005F1C33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</w:p>
        </w:tc>
        <w:tc>
          <w:tcPr>
            <w:tcW w:w="992" w:type="dxa"/>
            <w:gridSpan w:val="2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gridSpan w:val="2"/>
          </w:tcPr>
          <w:p w:rsidR="005F1C33" w:rsidRPr="00B823B2" w:rsidRDefault="005F1C33" w:rsidP="005F1C33">
            <w:pPr>
              <w:pStyle w:val="ConsPlusNormal"/>
              <w:spacing w:line="30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2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34" w:type="dxa"/>
            <w:gridSpan w:val="2"/>
          </w:tcPr>
          <w:p w:rsidR="005F1C33" w:rsidRPr="00B823B2" w:rsidRDefault="005F1C33" w:rsidP="005F1C33">
            <w:pPr>
              <w:pStyle w:val="ConsPlusNormal"/>
              <w:spacing w:line="30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2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134" w:type="dxa"/>
          </w:tcPr>
          <w:p w:rsidR="005F1C33" w:rsidRPr="00B823B2" w:rsidRDefault="005F1C33" w:rsidP="005F1C33">
            <w:pPr>
              <w:pStyle w:val="ConsPlusNormal"/>
              <w:spacing w:line="30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2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239" w:type="dxa"/>
            <w:gridSpan w:val="2"/>
          </w:tcPr>
          <w:p w:rsidR="005F1C33" w:rsidRPr="00B823B2" w:rsidRDefault="005F1C33" w:rsidP="005F1C33">
            <w:pPr>
              <w:pStyle w:val="ConsPlusNormal"/>
              <w:spacing w:line="300" w:lineRule="exact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  <w:tr w:rsidR="005F1C33" w:rsidRPr="00B823B2" w:rsidTr="005F1C33">
        <w:trPr>
          <w:trHeight w:val="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B823B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823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B823B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Количество и доля (%) общеобразовательных организаций, соответствующих разработанному и утвержденному единому региональному стандарту  оказания услуги по обеспечению горячим питанием обучающихся 1-4 классов  муниципальных 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B823B2" w:rsidP="005F1C33">
            <w:pPr>
              <w:pStyle w:val="ConsPlusNormal"/>
              <w:spacing w:line="30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B823B2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F1C33" w:rsidRPr="00B823B2" w:rsidTr="005F1C33">
        <w:trPr>
          <w:trHeight w:val="405"/>
        </w:trPr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к задаче 3.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общественного контроля за организацией обязательного горячего питания обучающихся 1-4 классов</w:t>
            </w:r>
          </w:p>
        </w:tc>
        <w:tc>
          <w:tcPr>
            <w:tcW w:w="8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2" w:rsidRPr="00B823B2" w:rsidRDefault="00B823B2" w:rsidP="00B823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Отв.: Отдел образования и молодежной политики Мариинско-Посадского района Чувашской Республики</w:t>
            </w:r>
          </w:p>
          <w:p w:rsidR="005F1C33" w:rsidRPr="00B823B2" w:rsidRDefault="00B823B2" w:rsidP="00B823B2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</w:tr>
      <w:tr w:rsidR="005F1C33" w:rsidRPr="00B823B2" w:rsidTr="005F1C33">
        <w:trPr>
          <w:trHeight w:val="40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Количество и доля (%) общеобразовательных организаций, в которых осуществляется общественный контроль за организацией питания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B823B2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B823B2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B823B2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F1C33" w:rsidRPr="00B823B2" w:rsidTr="005F1C33">
        <w:trPr>
          <w:trHeight w:val="40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3.2 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Количество и доля (%)образовательных организаций, разместивших на официальных сайтах  в информационно-телекоммуникационной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B823B2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B823B2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B823B2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F1C33" w:rsidRPr="00B823B2" w:rsidTr="005F1C33">
        <w:trPr>
          <w:trHeight w:val="40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3.3 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Наличие и реализация в образовательном процессе программ по организации информационно-просветительской работы с обучающимися и родителями по формированию культуры здорового питания (да/нет)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F1C33" w:rsidRPr="00B823B2" w:rsidTr="005F1C33">
        <w:trPr>
          <w:trHeight w:val="40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C33" w:rsidRPr="00B823B2" w:rsidRDefault="005F1C33" w:rsidP="0008706D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 доля (%) образовательных организаций, обязательное горячее питание в которых организовано </w:t>
            </w: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квалифицированными специалистами, в том числе предприятий по обеспечению питанием в образовательных организациях (поварами, медицинскими специалистами/диетсестрами, организаторами питания (руководителями) в образовательных организациях, ответс</w:t>
            </w:r>
            <w:r w:rsidR="0008706D">
              <w:rPr>
                <w:rFonts w:ascii="Times New Roman" w:hAnsi="Times New Roman" w:cs="Times New Roman"/>
                <w:sz w:val="26"/>
                <w:szCs w:val="26"/>
              </w:rPr>
              <w:t>твенными за организацию питания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20.09. 2019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190077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190077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190077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F1C33" w:rsidRPr="00B823B2" w:rsidRDefault="005F1C33" w:rsidP="005F1C33">
            <w:pPr>
              <w:pStyle w:val="ConsPlusNormal"/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F1C33" w:rsidRPr="00B823B2" w:rsidTr="005F1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5414" w:type="dxa"/>
            <w:gridSpan w:val="17"/>
          </w:tcPr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1C33" w:rsidRPr="00B823B2" w:rsidRDefault="005F1C33" w:rsidP="005F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1C33" w:rsidRPr="00B823B2" w:rsidRDefault="00C20A87" w:rsidP="00770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5F1C33" w:rsidRPr="00B823B2">
              <w:rPr>
                <w:rFonts w:ascii="Times New Roman" w:hAnsi="Times New Roman" w:cs="Times New Roman"/>
                <w:b/>
                <w:sz w:val="26"/>
                <w:szCs w:val="26"/>
              </w:rPr>
              <w:t>. Дополнительные показатели к разделу 4 «Дополнительные мероприятия субъекта Российской Федерации</w:t>
            </w:r>
            <w:r w:rsidR="005F1C33" w:rsidRPr="00B823B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5F1C33" w:rsidRPr="00B823B2" w:rsidTr="005F1C33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Цель, целевой показатель, дополнительный показатель (основной)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Уровень контроля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Базовое значение  </w:t>
            </w:r>
          </w:p>
        </w:tc>
        <w:tc>
          <w:tcPr>
            <w:tcW w:w="4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Прогнозируемое значение</w:t>
            </w:r>
          </w:p>
        </w:tc>
      </w:tr>
      <w:tr w:rsidR="005F1C33" w:rsidRPr="00B823B2" w:rsidTr="005F1C33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</w:p>
        </w:tc>
        <w:tc>
          <w:tcPr>
            <w:tcW w:w="992" w:type="dxa"/>
            <w:gridSpan w:val="2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gridSpan w:val="2"/>
          </w:tcPr>
          <w:p w:rsidR="005F1C33" w:rsidRPr="00C20A87" w:rsidRDefault="005F1C33" w:rsidP="005F1C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7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134" w:type="dxa"/>
            <w:gridSpan w:val="2"/>
          </w:tcPr>
          <w:p w:rsidR="005F1C33" w:rsidRPr="00C20A87" w:rsidRDefault="005F1C33" w:rsidP="005F1C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7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134" w:type="dxa"/>
          </w:tcPr>
          <w:p w:rsidR="005F1C33" w:rsidRPr="00C20A87" w:rsidRDefault="005F1C33" w:rsidP="005F1C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7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239" w:type="dxa"/>
            <w:gridSpan w:val="2"/>
          </w:tcPr>
          <w:p w:rsidR="005F1C33" w:rsidRPr="00B823B2" w:rsidRDefault="005F1C33" w:rsidP="005F1C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  <w:tr w:rsidR="005F1C33" w:rsidRPr="00B823B2" w:rsidTr="005F1C3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3B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gridSpan w:val="2"/>
          </w:tcPr>
          <w:p w:rsidR="005F1C33" w:rsidRPr="00B823B2" w:rsidRDefault="005F1C33" w:rsidP="005F1C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1C33" w:rsidRPr="00B823B2" w:rsidRDefault="005F1C33" w:rsidP="005F1C33">
      <w:pPr>
        <w:pStyle w:val="ac"/>
        <w:suppressAutoHyphens/>
        <w:spacing w:after="0" w:line="240" w:lineRule="auto"/>
        <w:ind w:left="9639"/>
        <w:jc w:val="center"/>
        <w:rPr>
          <w:rFonts w:ascii="Times New Roman" w:hAnsi="Times New Roman"/>
          <w:sz w:val="26"/>
          <w:szCs w:val="26"/>
        </w:rPr>
      </w:pPr>
    </w:p>
    <w:p w:rsidR="005F1C33" w:rsidRPr="00B823B2" w:rsidRDefault="005F1C33" w:rsidP="005F1C33">
      <w:pPr>
        <w:pStyle w:val="ac"/>
        <w:suppressAutoHyphens/>
        <w:spacing w:after="0" w:line="240" w:lineRule="auto"/>
        <w:ind w:left="9639"/>
        <w:jc w:val="center"/>
        <w:rPr>
          <w:rFonts w:ascii="Times New Roman" w:hAnsi="Times New Roman"/>
          <w:sz w:val="26"/>
          <w:szCs w:val="26"/>
        </w:rPr>
      </w:pPr>
    </w:p>
    <w:p w:rsidR="00DE472C" w:rsidRPr="00B823B2" w:rsidRDefault="00DE472C">
      <w:pPr>
        <w:rPr>
          <w:sz w:val="26"/>
          <w:szCs w:val="26"/>
        </w:rPr>
      </w:pPr>
    </w:p>
    <w:sectPr w:rsidR="00DE472C" w:rsidRPr="00B823B2" w:rsidSect="005E7D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24" w:rsidRDefault="00B81824" w:rsidP="005F1C33">
      <w:pPr>
        <w:spacing w:after="0" w:line="240" w:lineRule="auto"/>
      </w:pPr>
      <w:r>
        <w:separator/>
      </w:r>
    </w:p>
  </w:endnote>
  <w:endnote w:type="continuationSeparator" w:id="0">
    <w:p w:rsidR="00B81824" w:rsidRDefault="00B81824" w:rsidP="005F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24" w:rsidRDefault="00B81824" w:rsidP="005F1C33">
      <w:pPr>
        <w:spacing w:after="0" w:line="240" w:lineRule="auto"/>
      </w:pPr>
      <w:r>
        <w:separator/>
      </w:r>
    </w:p>
  </w:footnote>
  <w:footnote w:type="continuationSeparator" w:id="0">
    <w:p w:rsidR="00B81824" w:rsidRDefault="00B81824" w:rsidP="005F1C33">
      <w:pPr>
        <w:spacing w:after="0" w:line="240" w:lineRule="auto"/>
      </w:pPr>
      <w:r>
        <w:continuationSeparator/>
      </w:r>
    </w:p>
  </w:footnote>
  <w:footnote w:id="1">
    <w:p w:rsidR="004344C7" w:rsidRPr="005D5B72" w:rsidRDefault="004344C7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5B72">
        <w:rPr>
          <w:rStyle w:val="ab"/>
          <w:rFonts w:ascii="Times New Roman" w:hAnsi="Times New Roman" w:cs="Times New Roman"/>
        </w:rPr>
        <w:footnoteRef/>
      </w:r>
      <w:r w:rsidRPr="005D5B72">
        <w:rPr>
          <w:rFonts w:ascii="Times New Roman" w:hAnsi="Times New Roman" w:cs="Times New Roman"/>
        </w:rPr>
        <w:t xml:space="preserve"> За исключением обучающихся по </w:t>
      </w:r>
      <w:r>
        <w:rPr>
          <w:rFonts w:ascii="Times New Roman" w:hAnsi="Times New Roman" w:cs="Times New Roman"/>
        </w:rPr>
        <w:t xml:space="preserve">образовательной </w:t>
      </w:r>
      <w:r w:rsidRPr="005D5B72">
        <w:rPr>
          <w:rFonts w:ascii="Times New Roman" w:hAnsi="Times New Roman" w:cs="Times New Roman"/>
        </w:rPr>
        <w:t>программе начального общего образования, обязательное питание которых обеспечено в условиях их проживания в интернате или учреждениях круглосуточного пребывания</w:t>
      </w:r>
    </w:p>
    <w:p w:rsidR="004344C7" w:rsidRPr="005D5B72" w:rsidRDefault="004344C7" w:rsidP="005F1C33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5A8"/>
    <w:rsid w:val="0008706D"/>
    <w:rsid w:val="00092321"/>
    <w:rsid w:val="000B286E"/>
    <w:rsid w:val="000F5AB3"/>
    <w:rsid w:val="00112EE0"/>
    <w:rsid w:val="00156C75"/>
    <w:rsid w:val="00190077"/>
    <w:rsid w:val="00195D0B"/>
    <w:rsid w:val="001F0464"/>
    <w:rsid w:val="00222045"/>
    <w:rsid w:val="002A1668"/>
    <w:rsid w:val="002A62E2"/>
    <w:rsid w:val="00362C67"/>
    <w:rsid w:val="00365EFF"/>
    <w:rsid w:val="003D0FEA"/>
    <w:rsid w:val="003D3FA0"/>
    <w:rsid w:val="004344C7"/>
    <w:rsid w:val="00471CC3"/>
    <w:rsid w:val="00480E3F"/>
    <w:rsid w:val="004E7368"/>
    <w:rsid w:val="00515CFF"/>
    <w:rsid w:val="0054749A"/>
    <w:rsid w:val="005C041D"/>
    <w:rsid w:val="005E2265"/>
    <w:rsid w:val="005E5889"/>
    <w:rsid w:val="005E7D60"/>
    <w:rsid w:val="005F1C33"/>
    <w:rsid w:val="0067723A"/>
    <w:rsid w:val="00697DED"/>
    <w:rsid w:val="00750060"/>
    <w:rsid w:val="007709E2"/>
    <w:rsid w:val="00783335"/>
    <w:rsid w:val="007C0922"/>
    <w:rsid w:val="008032A7"/>
    <w:rsid w:val="00823EBC"/>
    <w:rsid w:val="0085582F"/>
    <w:rsid w:val="008A1A35"/>
    <w:rsid w:val="009502FA"/>
    <w:rsid w:val="009E76B1"/>
    <w:rsid w:val="00A01613"/>
    <w:rsid w:val="00AE7571"/>
    <w:rsid w:val="00B734DB"/>
    <w:rsid w:val="00B81824"/>
    <w:rsid w:val="00B823B2"/>
    <w:rsid w:val="00BC3856"/>
    <w:rsid w:val="00BE702E"/>
    <w:rsid w:val="00C20A87"/>
    <w:rsid w:val="00C27190"/>
    <w:rsid w:val="00C32DC6"/>
    <w:rsid w:val="00CE05A8"/>
    <w:rsid w:val="00D244EA"/>
    <w:rsid w:val="00D43987"/>
    <w:rsid w:val="00DB340F"/>
    <w:rsid w:val="00DE472C"/>
    <w:rsid w:val="00DF4D8A"/>
    <w:rsid w:val="00E45BB3"/>
    <w:rsid w:val="00E56A2B"/>
    <w:rsid w:val="00F9224A"/>
    <w:rsid w:val="00FA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F1C3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F1C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5F1C33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5F1C33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5F1C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Текст сноски Знак"/>
    <w:basedOn w:val="a0"/>
    <w:link w:val="aa"/>
    <w:uiPriority w:val="99"/>
    <w:rsid w:val="005F1C33"/>
    <w:rPr>
      <w:rFonts w:eastAsiaTheme="minorEastAsia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5F1C3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1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F1C33"/>
    <w:rPr>
      <w:vertAlign w:val="superscript"/>
    </w:rPr>
  </w:style>
  <w:style w:type="paragraph" w:styleId="ac">
    <w:name w:val="List Paragraph"/>
    <w:basedOn w:val="a"/>
    <w:uiPriority w:val="34"/>
    <w:qFormat/>
    <w:rsid w:val="005F1C33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Рубцова О.А.</dc:creator>
  <cp:lastModifiedBy>marpos_org2</cp:lastModifiedBy>
  <cp:revision>3</cp:revision>
  <dcterms:created xsi:type="dcterms:W3CDTF">2020-08-26T06:54:00Z</dcterms:created>
  <dcterms:modified xsi:type="dcterms:W3CDTF">2020-08-26T06:57:00Z</dcterms:modified>
</cp:coreProperties>
</file>