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A2" w:rsidRDefault="00986D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6DA2" w:rsidRDefault="00986DA2">
      <w:pPr>
        <w:pStyle w:val="ConsPlusNormal"/>
        <w:jc w:val="both"/>
        <w:outlineLvl w:val="0"/>
      </w:pPr>
    </w:p>
    <w:p w:rsidR="00986DA2" w:rsidRDefault="00986DA2">
      <w:pPr>
        <w:pStyle w:val="ConsPlusTitle"/>
        <w:jc w:val="center"/>
      </w:pPr>
      <w:r>
        <w:t>МИНИСТЕРСТВО ЗДРАВООХРАНЕНИЯ РОССИЙСКОЙ ФЕДЕРАЦИИ</w:t>
      </w:r>
    </w:p>
    <w:p w:rsidR="00986DA2" w:rsidRDefault="00986DA2">
      <w:pPr>
        <w:pStyle w:val="ConsPlusTitle"/>
        <w:jc w:val="both"/>
      </w:pPr>
    </w:p>
    <w:p w:rsidR="00986DA2" w:rsidRDefault="00986DA2">
      <w:pPr>
        <w:pStyle w:val="ConsPlusTitle"/>
        <w:jc w:val="center"/>
      </w:pPr>
      <w:r>
        <w:t>ПИСЬМО</w:t>
      </w:r>
    </w:p>
    <w:p w:rsidR="00986DA2" w:rsidRDefault="00986DA2">
      <w:pPr>
        <w:pStyle w:val="ConsPlusTitle"/>
        <w:jc w:val="center"/>
      </w:pPr>
      <w:r>
        <w:t>от 5 августа 2016 г. N 2070168/25-4</w:t>
      </w:r>
    </w:p>
    <w:p w:rsidR="00986DA2" w:rsidRDefault="00986DA2">
      <w:pPr>
        <w:pStyle w:val="ConsPlusNormal"/>
        <w:jc w:val="both"/>
      </w:pPr>
    </w:p>
    <w:p w:rsidR="00986DA2" w:rsidRDefault="00986DA2">
      <w:pPr>
        <w:pStyle w:val="ConsPlusNormal"/>
        <w:ind w:firstLine="540"/>
        <w:jc w:val="both"/>
      </w:pPr>
      <w:proofErr w:type="gramStart"/>
      <w:r>
        <w:t xml:space="preserve">Департамент лекарственного обеспечения и регулирования обращения медицинских изделий Минздрава России рассмотрел обращение в связи с вступлением в силу </w:t>
      </w:r>
      <w:hyperlink r:id="rId5" w:history="1">
        <w:r>
          <w:rPr>
            <w:color w:val="0000FF"/>
          </w:rPr>
          <w:t>приказа</w:t>
        </w:r>
      </w:hyperlink>
      <w:r>
        <w:t xml:space="preserve"> от 26.10.2015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(далее - правила) относительно разъяснения требований ранее утвержденных приказов и Методических рекомендаций в области контроля качества экстемпорально изготовленных</w:t>
      </w:r>
      <w:proofErr w:type="gramEnd"/>
      <w:r>
        <w:t xml:space="preserve"> лекарственных препаратов и сообщает следующее.</w:t>
      </w:r>
    </w:p>
    <w:p w:rsidR="00986DA2" w:rsidRDefault="00986DA2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Министерством здравоохранения Российской Федерации в настоящее время готовится приказ об отмене приказов Министерства здравоохранения Российской Федерации от 16 июля 1997 г. </w:t>
      </w:r>
      <w:hyperlink r:id="rId6" w:history="1">
        <w:r>
          <w:rPr>
            <w:color w:val="0000FF"/>
          </w:rPr>
          <w:t>N 214</w:t>
        </w:r>
      </w:hyperlink>
      <w:r>
        <w:t xml:space="preserve"> "О контроле качества лекарственных средств, изготовляемых в аптечных организациях (аптеках)", от 21 октября 1997 г. </w:t>
      </w:r>
      <w:hyperlink r:id="rId7" w:history="1">
        <w:r>
          <w:rPr>
            <w:color w:val="0000FF"/>
          </w:rPr>
          <w:t>N 308</w:t>
        </w:r>
      </w:hyperlink>
      <w:r>
        <w:t xml:space="preserve"> "Об утверждении инструкции по изготовлению в аптеках жидких лекарственных форм", от 16 октября 1997 г. </w:t>
      </w:r>
      <w:hyperlink r:id="rId8" w:history="1">
        <w:r>
          <w:rPr>
            <w:color w:val="0000FF"/>
          </w:rPr>
          <w:t>N 305</w:t>
        </w:r>
      </w:hyperlink>
      <w:r>
        <w:t xml:space="preserve"> "О нормах отклонений</w:t>
      </w:r>
      <w:proofErr w:type="gramEnd"/>
      <w:r>
        <w:t>, допустимых при изготовлении лекарственных средств и фасовке промышленной продукции в аптеках" в части требований, противоречащих действующим правилам.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>Изготовление лекарственных препаратов в виде внутриаптечной заготовки и фасовки осуществляется по усмотрению руководителя производственной аптеки или провизора-технолога и зависит от количества поступающих требований-накладных от медицинских организаций, номенклатуры выписываемых прописей, и может выполняться с целью оптимизации производственных процессов в аптеке.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п. 3</w:t>
        </w:r>
      </w:hyperlink>
      <w:r>
        <w:t xml:space="preserve"> правил имеется указание об использовании фармацевтических субстанций, включенных в государственный реестр лекарственных сре</w:t>
      </w:r>
      <w:proofErr w:type="gramStart"/>
      <w:r>
        <w:t>дств дл</w:t>
      </w:r>
      <w:proofErr w:type="gramEnd"/>
      <w:r>
        <w:t xml:space="preserve">я медицинского применения. Правила в </w:t>
      </w:r>
      <w:hyperlink r:id="rId10" w:history="1">
        <w:r>
          <w:rPr>
            <w:color w:val="0000FF"/>
          </w:rPr>
          <w:t>п. 77</w:t>
        </w:r>
      </w:hyperlink>
      <w:r>
        <w:t xml:space="preserve">, </w:t>
      </w:r>
      <w:hyperlink r:id="rId11" w:history="1">
        <w:r>
          <w:rPr>
            <w:color w:val="0000FF"/>
          </w:rPr>
          <w:t>87</w:t>
        </w:r>
      </w:hyperlink>
      <w:r>
        <w:t xml:space="preserve">, </w:t>
      </w:r>
      <w:hyperlink r:id="rId12" w:history="1">
        <w:r>
          <w:rPr>
            <w:color w:val="0000FF"/>
          </w:rPr>
          <w:t>102</w:t>
        </w:r>
      </w:hyperlink>
      <w:r>
        <w:t xml:space="preserve"> не содержат требований к вспомогательным веществам, подразумевается использование вспомогательных веществ, по степени чистоты, предназначенных для фармацевтического производства, или в исключительных случаях, для пищевого производства, допуск которых для экстемпорального производства определяется при входном контроле качества вспомогательных веще</w:t>
      </w:r>
      <w:proofErr w:type="gramStart"/>
      <w:r>
        <w:t>ств пр</w:t>
      </w:r>
      <w:proofErr w:type="gramEnd"/>
      <w:r>
        <w:t xml:space="preserve">и их приемке в аптеке. Кроме того в </w:t>
      </w:r>
      <w:hyperlink r:id="rId13" w:history="1">
        <w:r>
          <w:rPr>
            <w:color w:val="0000FF"/>
          </w:rPr>
          <w:t>п. 11</w:t>
        </w:r>
      </w:hyperlink>
      <w:r>
        <w:t xml:space="preserve"> не содержится конкретных наименований вспомогательных веществ, так как описываются общие правила изготовления экстемпоральных лекарственных форм, использование вспомогательного вещества обусловлено частной технологией изготовления экстемпоральной прописи, при отсутствии иных указаний используется лактозы моногидрат. В </w:t>
      </w:r>
      <w:hyperlink r:id="rId14" w:history="1">
        <w:r>
          <w:rPr>
            <w:color w:val="0000FF"/>
          </w:rPr>
          <w:t>п. 14</w:t>
        </w:r>
      </w:hyperlink>
      <w:r>
        <w:t xml:space="preserve"> правил подразумевается использование лактозы моногидрата с качеством для фармацевтического производства.</w:t>
      </w:r>
    </w:p>
    <w:p w:rsidR="00986DA2" w:rsidRDefault="00986DA2">
      <w:pPr>
        <w:pStyle w:val="ConsPlusNormal"/>
        <w:spacing w:before="220"/>
        <w:ind w:firstLine="540"/>
        <w:jc w:val="both"/>
      </w:pPr>
      <w:proofErr w:type="gramStart"/>
      <w:r>
        <w:t xml:space="preserve">Методические рекомендации по анализу лекарственных препаратов, утвержденные МЗ СССР, а также Руководства по анализу разных лет издания являются документами в области контроля качества в соответствии с </w:t>
      </w:r>
      <w:hyperlink r:id="rId15" w:history="1">
        <w:r>
          <w:rPr>
            <w:color w:val="0000FF"/>
          </w:rPr>
          <w:t>п. 4</w:t>
        </w:r>
      </w:hyperlink>
      <w:r>
        <w:t xml:space="preserve"> правил, если они описывают методики контроля качества или содержат известные методы контроля качества, а также перечень нормированных показателей качества типовой или индивидуальной прописи изготовленного лекарственного препарата.</w:t>
      </w:r>
      <w:proofErr w:type="gramEnd"/>
    </w:p>
    <w:p w:rsidR="00986DA2" w:rsidRDefault="00986DA2">
      <w:pPr>
        <w:pStyle w:val="ConsPlusNormal"/>
        <w:spacing w:before="220"/>
        <w:ind w:firstLine="540"/>
        <w:jc w:val="both"/>
      </w:pPr>
      <w:proofErr w:type="gramStart"/>
      <w:r>
        <w:t xml:space="preserve">Для отнесения лекарственных средств к "сильнодействующим лекарственным средствам", и "ядовитым средствам" рекомендуем воспользоваться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</w:t>
      </w:r>
      <w:r>
        <w:lastRenderedPageBreak/>
        <w:t xml:space="preserve">крупного размера сильнодействующих веществ для целей статьи 234 Уголовного кодекса Российской Федерации", а также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</w:t>
      </w:r>
      <w:proofErr w:type="gramEnd"/>
      <w:r>
        <w:t xml:space="preserve"> здравоохранения Российской Федерации от 22 апреля 2014 г. N 183н "Об утверждении перечня лекарственных сре</w:t>
      </w:r>
      <w:proofErr w:type="gramStart"/>
      <w:r>
        <w:t>дств дл</w:t>
      </w:r>
      <w:proofErr w:type="gramEnd"/>
      <w:r>
        <w:t>я медицинского применения, подлежащих предметно-количественному учету".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п. 11</w:t>
        </w:r>
      </w:hyperlink>
      <w:r>
        <w:t xml:space="preserve">, </w:t>
      </w:r>
      <w:hyperlink r:id="rId19" w:history="1">
        <w:r>
          <w:rPr>
            <w:color w:val="0000FF"/>
          </w:rPr>
          <w:t>58</w:t>
        </w:r>
      </w:hyperlink>
      <w:r>
        <w:t xml:space="preserve"> и </w:t>
      </w:r>
      <w:hyperlink r:id="rId20" w:history="1">
        <w:r>
          <w:rPr>
            <w:color w:val="0000FF"/>
          </w:rPr>
          <w:t>76</w:t>
        </w:r>
      </w:hyperlink>
      <w:r>
        <w:t xml:space="preserve"> правил порошки, суспензии, эмульсии, мази могут изготавливаться с использованием смесителей различной конструкции и измельчителей (порошки). Конструкция данных приборов описана в учебниках по фармацевтической технологии. Предметом правил не является установление требований к технологическому оборудованию, используемому при изготовлении лекарственных препаратов.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Помимо этого, </w:t>
      </w:r>
      <w:hyperlink r:id="rId21" w:history="1">
        <w:r>
          <w:rPr>
            <w:color w:val="0000FF"/>
          </w:rPr>
          <w:t>правила</w:t>
        </w:r>
      </w:hyperlink>
      <w:r>
        <w:t xml:space="preserve"> не устанавливают требования к фильтровальным материалам и установкам, используемым для фильтрования инъекционных и инфузионных растворов.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п. 96</w:t>
        </w:r>
      </w:hyperlink>
      <w:r>
        <w:t xml:space="preserve"> правил контроль параметров и эффективности термических методов стерилизации осуществляется с помощью контрольно-измерительных приборов, химических и биологических тестов. Для контроля режимов стерилизации Методические указания по изготовлению стерильных растворов Минздравмедпрома России, 1994 года устарели, существуют более современные методы стерилизации.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п. 99</w:t>
        </w:r>
      </w:hyperlink>
      <w:r>
        <w:t xml:space="preserve"> правил оценка качества инъекционных и инфузионных растворов после стерилизации </w:t>
      </w:r>
      <w:proofErr w:type="gramStart"/>
      <w:r>
        <w:t>проводится</w:t>
      </w:r>
      <w:proofErr w:type="gramEnd"/>
      <w:r>
        <w:t xml:space="preserve"> в том числе по показателям стерильности, пирогенности или содержанию бактериальных эндотоксинов.</w:t>
      </w:r>
    </w:p>
    <w:p w:rsidR="00986DA2" w:rsidRDefault="00986DA2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Правилами</w:t>
        </w:r>
      </w:hyperlink>
      <w:r>
        <w:t xml:space="preserve"> не предусматривается возможность снижения аптечной организацией частоты контроля изготавливаемых стерильных лекарственных препаратов по показателям "стерильность" и "пирогенность".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>Для стерильных инъекционных и инфузионных лекарственных препаратов, имеющих сроки годности менее 14 дней, контроль образцов изготовленной партии на стерильность является обязательной с ретроспективной оценкой результатов.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>В то же время стерильные лекарственные препараты, предназначенные для наружного применения, не требуют контроля качества по показателю "пирогенность". Частота определения показателя "стерильность" для таких препаратов также может быть снижена.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п. 126</w:t>
        </w:r>
      </w:hyperlink>
      <w:r>
        <w:t xml:space="preserve"> правил указаны условия осуществления физического контроля лекарственного препарата, в том числе предназначенных для применения у детей в возрасте до 1 года.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6" w:history="1">
        <w:r>
          <w:rPr>
            <w:color w:val="0000FF"/>
          </w:rPr>
          <w:t>п. 130</w:t>
        </w:r>
      </w:hyperlink>
      <w:r>
        <w:t xml:space="preserve"> правил вода очищенная и вода для инъекций должны ежеквартально подвергаться полному качественному и количественному анализу воды. Ответственного за выполнение ежеквартального анализа воды очищенной устанавливает руководитель аптеки.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7" w:history="1">
        <w:r>
          <w:rPr>
            <w:color w:val="0000FF"/>
          </w:rPr>
          <w:t>п. 131</w:t>
        </w:r>
      </w:hyperlink>
      <w:r>
        <w:t xml:space="preserve"> правил журнал регистрации результатов контроля воды очищенной, воды для инъекций должен быть пронумерован, прошнурован и скреплен подписью руководителя учреждения и печатью вышестоящей организации. Однако, по мнению департамента, не следует заверять указанный журнал в вышестоящей организации. Необходимые корректировки </w:t>
      </w:r>
      <w:hyperlink r:id="rId28" w:history="1">
        <w:r>
          <w:rPr>
            <w:color w:val="0000FF"/>
          </w:rPr>
          <w:t>п. 131</w:t>
        </w:r>
      </w:hyperlink>
      <w:r>
        <w:t xml:space="preserve"> правил будут внесены Министерством здравоохранения Российской Федерации.</w:t>
      </w:r>
    </w:p>
    <w:p w:rsidR="00986DA2" w:rsidRDefault="00986DA2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29" w:history="1">
        <w:r>
          <w:rPr>
            <w:color w:val="0000FF"/>
          </w:rPr>
          <w:t>п. 136</w:t>
        </w:r>
      </w:hyperlink>
      <w:r>
        <w:t xml:space="preserve"> правил микробиологический контроль растворов, за исключением растворов индивидуального изготовления, на стерильность и испытание на пирогенность или бактериальные эндотоксины растворов для инъекций и инфузий проводится в соответствии с требованиями Государственной фармакопеи XII издания или иного документа в области контроля качества, документ не устанавливает орган исполнительной власти или его структуру, ответственную за проведение анализа.</w:t>
      </w:r>
      <w:proofErr w:type="gramEnd"/>
    </w:p>
    <w:p w:rsidR="00986DA2" w:rsidRDefault="00986DA2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Таблица 9</w:t>
        </w:r>
      </w:hyperlink>
      <w:r>
        <w:t xml:space="preserve"> приложения 3 к правилам содержит допустимые погрешности при измерении величины рН, в том числе, с использованием индикаторной бумаги, а не только потенциометрического метода.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>Для приготовления 10% раствора для инъекций должен использоваться глицерин для фармацевтического производства.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>Для раствора натрия хлорида 0,45 - 10% установлен срок хранения 90 суток (</w:t>
      </w:r>
      <w:hyperlink r:id="rId31" w:history="1">
        <w:r>
          <w:rPr>
            <w:color w:val="0000FF"/>
          </w:rPr>
          <w:t>позиция 27</w:t>
        </w:r>
      </w:hyperlink>
      <w:r>
        <w:t xml:space="preserve"> приложения 15 к правилам), а для раствора натрия хлорида 3% установлен срок хранения 2 суток в соответствии с </w:t>
      </w:r>
      <w:hyperlink r:id="rId32" w:history="1">
        <w:r>
          <w:rPr>
            <w:color w:val="0000FF"/>
          </w:rPr>
          <w:t>позицией 28</w:t>
        </w:r>
      </w:hyperlink>
      <w:r>
        <w:t xml:space="preserve"> приложения 15 к правилам.</w:t>
      </w:r>
    </w:p>
    <w:p w:rsidR="00986DA2" w:rsidRDefault="00986DA2">
      <w:pPr>
        <w:pStyle w:val="ConsPlusNormal"/>
        <w:spacing w:before="220"/>
        <w:ind w:firstLine="540"/>
        <w:jc w:val="both"/>
      </w:pPr>
      <w:r>
        <w:t xml:space="preserve">Растительные масла персиковое, оливковое, подсолнечное: </w:t>
      </w:r>
      <w:hyperlink r:id="rId33" w:history="1">
        <w:r>
          <w:rPr>
            <w:color w:val="0000FF"/>
          </w:rPr>
          <w:t>позиции 113</w:t>
        </w:r>
      </w:hyperlink>
      <w:r>
        <w:t xml:space="preserve">, </w:t>
      </w:r>
      <w:hyperlink r:id="rId34" w:history="1">
        <w:r>
          <w:rPr>
            <w:color w:val="0000FF"/>
          </w:rPr>
          <w:t>114</w:t>
        </w:r>
      </w:hyperlink>
      <w:r>
        <w:t xml:space="preserve">, </w:t>
      </w:r>
      <w:hyperlink r:id="rId35" w:history="1">
        <w:r>
          <w:rPr>
            <w:color w:val="0000FF"/>
          </w:rPr>
          <w:t>115</w:t>
        </w:r>
      </w:hyperlink>
      <w:r>
        <w:t xml:space="preserve"> таблицы N 3 приложения 15 к правилам, рекомендуется использовать фармацевтического качества, так как они являются фармацевтическими субстанциями для изготовления лекарственных препаратов для ухода за новорожденными детьми.</w:t>
      </w:r>
    </w:p>
    <w:p w:rsidR="00986DA2" w:rsidRDefault="00986DA2">
      <w:pPr>
        <w:pStyle w:val="ConsPlusNormal"/>
        <w:jc w:val="both"/>
      </w:pPr>
    </w:p>
    <w:p w:rsidR="00986DA2" w:rsidRDefault="00986DA2">
      <w:pPr>
        <w:pStyle w:val="ConsPlusNormal"/>
        <w:jc w:val="right"/>
      </w:pPr>
      <w:r>
        <w:t>Заместитель директора Департамента</w:t>
      </w:r>
    </w:p>
    <w:p w:rsidR="00986DA2" w:rsidRDefault="00986DA2">
      <w:pPr>
        <w:pStyle w:val="ConsPlusNormal"/>
        <w:jc w:val="right"/>
      </w:pPr>
      <w:r>
        <w:t>В.Ю.ЕМЕЛЬЯНОВ</w:t>
      </w:r>
    </w:p>
    <w:p w:rsidR="00986DA2" w:rsidRDefault="00986DA2">
      <w:pPr>
        <w:pStyle w:val="ConsPlusNormal"/>
        <w:jc w:val="both"/>
      </w:pPr>
    </w:p>
    <w:p w:rsidR="00986DA2" w:rsidRDefault="00986DA2">
      <w:pPr>
        <w:pStyle w:val="ConsPlusNormal"/>
        <w:jc w:val="both"/>
      </w:pPr>
    </w:p>
    <w:p w:rsidR="00986DA2" w:rsidRDefault="00986D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A12" w:rsidRDefault="001B0A12"/>
    <w:sectPr w:rsidR="001B0A12" w:rsidSect="0036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86DA2"/>
    <w:rsid w:val="001B0A12"/>
    <w:rsid w:val="0098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D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72D07D6FE9FA3652FFA5C814D385FB0692BF9434FF51DB585657836E63EB9C99F3A4C95E515A44472D62E16J9k1I" TargetMode="External"/><Relationship Id="rId13" Type="http://schemas.openxmlformats.org/officeDocument/2006/relationships/hyperlink" Target="consultantplus://offline/ref=7A372D07D6FE9FA3652FFA5C814D385FB0622BFB4A4FF51DB585657836E63EB9DB9F624095E40BA04567807F50C4F9F43D597B0087D002BBJAk3I" TargetMode="External"/><Relationship Id="rId18" Type="http://schemas.openxmlformats.org/officeDocument/2006/relationships/hyperlink" Target="consultantplus://offline/ref=7A372D07D6FE9FA3652FFA5C814D385FB0622BFB4A4FF51DB585657836E63EB9DB9F624095E40BA04567807F50C4F9F43D597B0087D002BBJAk3I" TargetMode="External"/><Relationship Id="rId26" Type="http://schemas.openxmlformats.org/officeDocument/2006/relationships/hyperlink" Target="consultantplus://offline/ref=7A372D07D6FE9FA3652FFA5C814D385FB0622BFB4A4FF51DB585657836E63EB9DB9F624095E40FAC4C67807F50C4F9F43D597B0087D002BBJAk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372D07D6FE9FA3652FFA5C814D385FB0622BFB4A4FF51DB585657836E63EB9DB9F624095E40BA44467807F50C4F9F43D597B0087D002BBJAk3I" TargetMode="External"/><Relationship Id="rId34" Type="http://schemas.openxmlformats.org/officeDocument/2006/relationships/hyperlink" Target="consultantplus://offline/ref=7A372D07D6FE9FA3652FFA5C814D385FB0622BFB4A4FF51DB585657836E63EB9DB9F624095E708A14567807F50C4F9F43D597B0087D002BBJAk3I" TargetMode="External"/><Relationship Id="rId7" Type="http://schemas.openxmlformats.org/officeDocument/2006/relationships/hyperlink" Target="consultantplus://offline/ref=7A372D07D6FE9FA3652FFA5C814D385FB0692BF94340F51DB585657836E63EB9C99F3A4C95E515A44472D62E16J9k1I" TargetMode="External"/><Relationship Id="rId12" Type="http://schemas.openxmlformats.org/officeDocument/2006/relationships/hyperlink" Target="consultantplus://offline/ref=7A372D07D6FE9FA3652FFA5C814D385FB0622BFB4A4FF51DB585657836E63EB9DB9F624095E408AC4567807F50C4F9F43D597B0087D002BBJAk3I" TargetMode="External"/><Relationship Id="rId17" Type="http://schemas.openxmlformats.org/officeDocument/2006/relationships/hyperlink" Target="consultantplus://offline/ref=7A372D07D6FE9FA3652FFA5C814D385FB26B28F24741F51DB585657836E63EB9C99F3A4C95E515A44472D62E16J9k1I" TargetMode="External"/><Relationship Id="rId25" Type="http://schemas.openxmlformats.org/officeDocument/2006/relationships/hyperlink" Target="consultantplus://offline/ref=7A372D07D6FE9FA3652FFA5C814D385FB0622BFB4A4FF51DB585657836E63EB9DB9F624095E40FAD4667807F50C4F9F43D597B0087D002BBJAk3I" TargetMode="External"/><Relationship Id="rId33" Type="http://schemas.openxmlformats.org/officeDocument/2006/relationships/hyperlink" Target="consultantplus://offline/ref=7A372D07D6FE9FA3652FFA5C814D385FB0622BFB4A4FF51DB585657836E63EB9DB9F624095E708A64267807F50C4F9F43D597B0087D002BBJAk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372D07D6FE9FA3652FFA5C814D385FB2692AF8434EF51DB585657836E63EB9C99F3A4C95E515A44472D62E16J9k1I" TargetMode="External"/><Relationship Id="rId20" Type="http://schemas.openxmlformats.org/officeDocument/2006/relationships/hyperlink" Target="consultantplus://offline/ref=7A372D07D6FE9FA3652FFA5C814D385FB0622BFB4A4FF51DB585657836E63EB9DB9F624095E409A14C67807F50C4F9F43D597B0087D002BBJAk3I" TargetMode="External"/><Relationship Id="rId29" Type="http://schemas.openxmlformats.org/officeDocument/2006/relationships/hyperlink" Target="consultantplus://offline/ref=7A372D07D6FE9FA3652FFA5C814D385FB0622BFB4A4FF51DB585657836E63EB9DB9F624095E40EA14667807F50C4F9F43D597B0087D002BBJAk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372D07D6FE9FA3652FFA5C814D385FB06D29F34A43A817BDDC697A31E961BCDC8E624194FA0AA55A6ED42CJ1k4I" TargetMode="External"/><Relationship Id="rId11" Type="http://schemas.openxmlformats.org/officeDocument/2006/relationships/hyperlink" Target="consultantplus://offline/ref=7A372D07D6FE9FA3652FFA5C814D385FB0622BFB4A4FF51DB585657836E63EB9DB9F624095E408A54C67807F50C4F9F43D597B0087D002BBJAk3I" TargetMode="External"/><Relationship Id="rId24" Type="http://schemas.openxmlformats.org/officeDocument/2006/relationships/hyperlink" Target="consultantplus://offline/ref=7A372D07D6FE9FA3652FFA5C814D385FB0622BFB4A4FF51DB585657836E63EB9DB9F624095E40BA44467807F50C4F9F43D597B0087D002BBJAk3I" TargetMode="External"/><Relationship Id="rId32" Type="http://schemas.openxmlformats.org/officeDocument/2006/relationships/hyperlink" Target="consultantplus://offline/ref=7A372D07D6FE9FA3652FFA5C814D385FB0622BFB4A4FF51DB585657836E63EB9DB9F624095E603A34467807F50C4F9F43D597B0087D002BBJAk3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7A372D07D6FE9FA3652FFA5C814D385FB0622BFB4A4FF51DB585657836E63EB9C99F3A4C95E515A44472D62E16J9k1I" TargetMode="External"/><Relationship Id="rId15" Type="http://schemas.openxmlformats.org/officeDocument/2006/relationships/hyperlink" Target="consultantplus://offline/ref=7A372D07D6FE9FA3652FFA5C814D385FB0622BFB4A4FF51DB585657836E63EB9DB9F624095E40BA44C67807F50C4F9F43D597B0087D002BBJAk3I" TargetMode="External"/><Relationship Id="rId23" Type="http://schemas.openxmlformats.org/officeDocument/2006/relationships/hyperlink" Target="consultantplus://offline/ref=7A372D07D6FE9FA3652FFA5C814D385FB0622BFB4A4FF51DB585657836E63EB9DB9F624095E408A34167807F50C4F9F43D597B0087D002BBJAk3I" TargetMode="External"/><Relationship Id="rId28" Type="http://schemas.openxmlformats.org/officeDocument/2006/relationships/hyperlink" Target="consultantplus://offline/ref=7A372D07D6FE9FA3652FFA5C814D385FB0622BFB4A4FF51DB585657836E63EB9DB9F624095E40EA54267807F50C4F9F43D597B0087D002BBJAk3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A372D07D6FE9FA3652FFA5C814D385FB0622BFB4A4FF51DB585657836E63EB9DB9F624095E409A04667807F50C4F9F43D597B0087D002BBJAk3I" TargetMode="External"/><Relationship Id="rId19" Type="http://schemas.openxmlformats.org/officeDocument/2006/relationships/hyperlink" Target="consultantplus://offline/ref=7A372D07D6FE9FA3652FFA5C814D385FB0622BFB4A4FF51DB585657836E63EB9DB9F624095E40AA24467807F50C4F9F43D597B0087D002BBJAk3I" TargetMode="External"/><Relationship Id="rId31" Type="http://schemas.openxmlformats.org/officeDocument/2006/relationships/hyperlink" Target="consultantplus://offline/ref=7A372D07D6FE9FA3652FFA5C814D385FB0622BFB4A4FF51DB585657836E63EB9DB9F624095E603A04167807F50C4F9F43D597B0087D002BBJAk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372D07D6FE9FA3652FFA5C814D385FB0622BFB4A4FF51DB585657836E63EB9DB9F624095E40BA44367807F50C4F9F43D597B0087D002BBJAk3I" TargetMode="External"/><Relationship Id="rId14" Type="http://schemas.openxmlformats.org/officeDocument/2006/relationships/hyperlink" Target="consultantplus://offline/ref=7A372D07D6FE9FA3652FFA5C814D385FB0622BFB4A4FF51DB585657836E63EB9DB9F624095E40BA34767807F50C4F9F43D597B0087D002BBJAk3I" TargetMode="External"/><Relationship Id="rId22" Type="http://schemas.openxmlformats.org/officeDocument/2006/relationships/hyperlink" Target="consultantplus://offline/ref=7A372D07D6FE9FA3652FFA5C814D385FB0622BFB4A4FF51DB585657836E63EB9DB9F624095E408A14C67807F50C4F9F43D597B0087D002BBJAk3I" TargetMode="External"/><Relationship Id="rId27" Type="http://schemas.openxmlformats.org/officeDocument/2006/relationships/hyperlink" Target="consultantplus://offline/ref=7A372D07D6FE9FA3652FFA5C814D385FB0622BFB4A4FF51DB585657836E63EB9DB9F624095E40EA54267807F50C4F9F43D597B0087D002BBJAk3I" TargetMode="External"/><Relationship Id="rId30" Type="http://schemas.openxmlformats.org/officeDocument/2006/relationships/hyperlink" Target="consultantplus://offline/ref=7A372D07D6FE9FA3652FFA5C814D385FB0622BFB4A4FF51DB585657836E63EB9DB9F624095E402A24C67807F50C4F9F43D597B0087D002BBJAk3I" TargetMode="External"/><Relationship Id="rId35" Type="http://schemas.openxmlformats.org/officeDocument/2006/relationships/hyperlink" Target="consultantplus://offline/ref=7A372D07D6FE9FA3652FFA5C814D385FB0622BFB4A4FF51DB585657836E63EB9DB9F624095E708A14267807F50C4F9F43D597B0087D002BBJA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2020-10-01T08:36:00Z</dcterms:created>
  <dcterms:modified xsi:type="dcterms:W3CDTF">2020-10-01T08:37:00Z</dcterms:modified>
</cp:coreProperties>
</file>