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7" w:rsidRPr="009C1111" w:rsidRDefault="00F06807" w:rsidP="00F0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11">
        <w:rPr>
          <w:rFonts w:ascii="Times New Roman" w:hAnsi="Times New Roman" w:cs="Times New Roman"/>
          <w:b/>
          <w:sz w:val="28"/>
          <w:szCs w:val="28"/>
        </w:rPr>
        <w:t>Реестр нормативных правовых и (или) ведомственных актов, предусматривающих предоставление мер</w:t>
      </w:r>
    </w:p>
    <w:p w:rsidR="004905E2" w:rsidRPr="009C1111" w:rsidRDefault="00F06807" w:rsidP="00F0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11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9C1111">
        <w:rPr>
          <w:rFonts w:ascii="Times New Roman" w:hAnsi="Times New Roman" w:cs="Times New Roman"/>
          <w:b/>
          <w:sz w:val="28"/>
          <w:szCs w:val="28"/>
        </w:rPr>
        <w:t xml:space="preserve"> поддержки и влияющих на производительность труда</w:t>
      </w:r>
    </w:p>
    <w:p w:rsidR="00734E7C" w:rsidRDefault="00734E7C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11"/>
        <w:gridCol w:w="2894"/>
        <w:gridCol w:w="2908"/>
        <w:gridCol w:w="3140"/>
        <w:gridCol w:w="5439"/>
      </w:tblGrid>
      <w:tr w:rsidR="00706E4C" w:rsidRPr="00706E4C" w:rsidTr="00AF5242">
        <w:trPr>
          <w:tblHeader/>
        </w:trPr>
        <w:tc>
          <w:tcPr>
            <w:tcW w:w="611" w:type="dxa"/>
          </w:tcPr>
          <w:p w:rsidR="00706E4C" w:rsidRPr="00706E4C" w:rsidRDefault="00706E4C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94" w:type="dxa"/>
          </w:tcPr>
          <w:p w:rsidR="00706E4C" w:rsidRPr="00706E4C" w:rsidRDefault="00706E4C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908" w:type="dxa"/>
          </w:tcPr>
          <w:p w:rsidR="00706E4C" w:rsidRPr="00706E4C" w:rsidRDefault="00706E4C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0" w:type="dxa"/>
          </w:tcPr>
          <w:p w:rsidR="00706E4C" w:rsidRDefault="00706E4C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меры</w:t>
            </w:r>
          </w:p>
          <w:p w:rsidR="00706E4C" w:rsidRPr="00706E4C" w:rsidRDefault="00706E4C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поддержки</w:t>
            </w:r>
          </w:p>
        </w:tc>
        <w:tc>
          <w:tcPr>
            <w:tcW w:w="5439" w:type="dxa"/>
          </w:tcPr>
          <w:p w:rsidR="00706E4C" w:rsidRDefault="00706E4C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06E4C" w:rsidRPr="00706E4C" w:rsidRDefault="00706E4C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поддержки</w:t>
            </w:r>
          </w:p>
        </w:tc>
      </w:tr>
      <w:tr w:rsidR="005022B9" w:rsidRPr="00706E4C" w:rsidTr="00AF5242">
        <w:tc>
          <w:tcPr>
            <w:tcW w:w="611" w:type="dxa"/>
            <w:vMerge w:val="restart"/>
          </w:tcPr>
          <w:p w:rsidR="005022B9" w:rsidRDefault="00734E7C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4" w:type="dxa"/>
            <w:vMerge w:val="restart"/>
          </w:tcPr>
          <w:p w:rsidR="005022B9" w:rsidRDefault="005022B9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5022B9" w:rsidRDefault="005022B9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5022B9" w:rsidRDefault="005022B9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июля 2007 г. № 38</w:t>
            </w:r>
          </w:p>
        </w:tc>
        <w:tc>
          <w:tcPr>
            <w:tcW w:w="2908" w:type="dxa"/>
            <w:vMerge w:val="restart"/>
          </w:tcPr>
          <w:p w:rsidR="005022B9" w:rsidRDefault="005022B9" w:rsidP="00E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О вопросах налогового регулирования в Чува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ской Республике, отн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сенных законодател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рации о налогах и сборах к ведению субъектов Ро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3140" w:type="dxa"/>
          </w:tcPr>
          <w:p w:rsidR="005022B9" w:rsidRPr="00E94648" w:rsidRDefault="005022B9" w:rsidP="00E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пр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быль организаций при пр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влечении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2B9" w:rsidRDefault="005022B9" w:rsidP="00502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5022B9" w:rsidRPr="00390689" w:rsidRDefault="008D58A1" w:rsidP="008D58A1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Ставка налога на прибыль организаций в пр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делах суммы налога, подлежащей зачислению в республиканский бюджет Чувашской Республики, устанавливается в размере 14 процентов для орг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низаций, зарегистрированных на территории Ч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вашской Республики и осуществляющих инвест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ционную деятельность в Чувашской Республике в форме капитальных вложений на сумму более 50 млн. рублей. При этом сумма льготы не должна превышать 18 процентов суммы фактически п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ступивших инвестиций.</w:t>
            </w:r>
          </w:p>
          <w:p w:rsidR="008D58A1" w:rsidRPr="00390689" w:rsidRDefault="008D58A1" w:rsidP="008D58A1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Ставка налога на прибыль организаций в пр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делах суммы налога, подлежащей зачислению в республиканский бюджет Чувашской Республики, устанавливается в размере 14 процентов для вновь создаваемых организаций (включая иностранные и с иностранным участием), занимающихся пр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изводством товаров народного потребления и п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реработкой сельскохозяйственной продукции (не менее 70 процентов от общего объема), в течение первых трех лет с момента государственной рег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страции при условии направления высвобожда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мых средств на развитие производства.</w:t>
            </w:r>
          </w:p>
          <w:p w:rsidR="008D58A1" w:rsidRPr="00390689" w:rsidRDefault="008D58A1" w:rsidP="008D58A1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Ставка налога на прибыль организаций в пр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делах суммы налога, подлежащей зачислению в республиканский бюджет Чувашской Республики, для резидентов территории опережающего соц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в отношении 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прибыли, полученной от деятельности, осущест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ляемой при исполнении соглашений об осущест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лении деятельности на территории опережающего социально-экономического развития, устанавл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вается в размере:</w:t>
            </w:r>
          </w:p>
          <w:p w:rsidR="008D58A1" w:rsidRPr="00390689" w:rsidRDefault="008D58A1" w:rsidP="008D58A1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 xml:space="preserve">5 процентов 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пяти налоговых пер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одов начиная с налогового периода, в котором в соответствии с данными налогового учета была получена первая прибыль от деятельности, ос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ществляемой при исполнении соглашений об осуществлении деятельности на территории оп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режающего социально-экономического развития;</w:t>
            </w:r>
          </w:p>
          <w:p w:rsidR="008D58A1" w:rsidRPr="00390689" w:rsidRDefault="008D58A1" w:rsidP="008D58A1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 xml:space="preserve"> с шестого по десятый налог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      </w:r>
          </w:p>
          <w:p w:rsidR="008D58A1" w:rsidRPr="00390689" w:rsidRDefault="008D58A1" w:rsidP="008D58A1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B9" w:rsidRPr="00706E4C" w:rsidTr="00AF5242">
        <w:tc>
          <w:tcPr>
            <w:tcW w:w="611" w:type="dxa"/>
            <w:vMerge/>
          </w:tcPr>
          <w:p w:rsidR="005022B9" w:rsidRDefault="005022B9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5022B9" w:rsidRPr="00E94648" w:rsidRDefault="005022B9" w:rsidP="0070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022B9" w:rsidRPr="00E94648" w:rsidRDefault="005022B9" w:rsidP="00E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5022B9" w:rsidRPr="00E94648" w:rsidRDefault="005022B9" w:rsidP="00502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имущ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ство организаций при пр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влечении инвестиций</w:t>
            </w:r>
          </w:p>
          <w:p w:rsidR="005022B9" w:rsidRDefault="005022B9" w:rsidP="00E9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3D734D" w:rsidRPr="00390689" w:rsidRDefault="003D734D" w:rsidP="008D58A1">
            <w:pPr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0"/>
            <w:bookmarkEnd w:id="0"/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Организации, зарегистрированные на террит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рии Чувашской Республики и привлекающие 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вестиции на сумму более 50 млн. рублей, осв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бождаются от уплаты налога на имущество орг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низаций в размере 50 процентов от суммы исчи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ленного налога в течение всего срока окупаемости инвестиционного проекта, но не более чем на пять лет со дня получения льготы.</w:t>
            </w:r>
          </w:p>
          <w:p w:rsidR="003D734D" w:rsidRPr="00390689" w:rsidRDefault="003D734D" w:rsidP="008D58A1">
            <w:pPr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Организации, зарегистрированные на террит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 xml:space="preserve">рии Чувашской Республики, а также организации, зарегистрированные за пределами Чувашской 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в отношении их обособленных по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разделений, имеющих отдельный баланс, ос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ществляющие деятельность на территории Ч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вашской Республики по производству сельскох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 с привлечением иннов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ционных технологий по производству сельскох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продукции, при условии, что доля доходов от реализации этой продукции составляет не менее 70 процентов от общего объема реализ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емой продукции, и привлекающие с 2008 года 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вестиции на сумму не менее 100 млн. рублей, освобождаются от уплаты налога на имущество организаций, исчисленного начиная с 2011 года, в течение всего срока окупаемости инвестиционн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го проекта, но не более чем на пять лет с момента привлечения инвестиций.</w:t>
            </w:r>
          </w:p>
          <w:p w:rsidR="003D734D" w:rsidRPr="00390689" w:rsidRDefault="003D734D" w:rsidP="008D58A1">
            <w:pPr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"/>
            <w:bookmarkEnd w:id="1"/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Организациям, привлекающим инвестиции на сумму более 5 млрд. рублей и реализующим инв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стиционные проекты на территории Чувашской Республики, в отношении имущества, созданного (приобретенного) в рамках реализации инвест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ционного проекта, устанавливается ставка налога на имущество организаций в размере 0,1 процента в течение всего срока окупаемости инвестицио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ного проекта, но не более чем на пять лет со дня получения льготы.</w:t>
            </w:r>
          </w:p>
          <w:p w:rsidR="005022B9" w:rsidRPr="00390689" w:rsidRDefault="005022B9" w:rsidP="008D58A1">
            <w:pPr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48" w:rsidRPr="00706E4C" w:rsidTr="00AF5242">
        <w:tc>
          <w:tcPr>
            <w:tcW w:w="611" w:type="dxa"/>
            <w:vMerge w:val="restart"/>
          </w:tcPr>
          <w:p w:rsidR="00E94648" w:rsidRDefault="00734E7C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4" w:type="dxa"/>
            <w:vMerge w:val="restart"/>
          </w:tcPr>
          <w:p w:rsidR="00E94648" w:rsidRPr="00A62740" w:rsidRDefault="00E94648" w:rsidP="00A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4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94648" w:rsidRPr="00A62740" w:rsidRDefault="00E94648" w:rsidP="00A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40">
              <w:rPr>
                <w:rFonts w:ascii="Times New Roman" w:hAnsi="Times New Roman" w:cs="Times New Roman"/>
                <w:sz w:val="24"/>
                <w:szCs w:val="24"/>
              </w:rPr>
              <w:t>Кабинета Министров</w:t>
            </w:r>
          </w:p>
          <w:p w:rsidR="00E94648" w:rsidRPr="00A62740" w:rsidRDefault="00E94648" w:rsidP="00A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4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E94648" w:rsidRDefault="00E94648" w:rsidP="00FA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4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2017 г.</w:t>
            </w:r>
            <w:r w:rsidRPr="00A6274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8" w:type="dxa"/>
            <w:vMerge w:val="restart"/>
          </w:tcPr>
          <w:p w:rsidR="00E94648" w:rsidRDefault="00E94648" w:rsidP="00FA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61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по</w:t>
            </w:r>
            <w:r w:rsidRPr="00FA246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A2461">
              <w:rPr>
                <w:rFonts w:ascii="Times New Roman" w:hAnsi="Times New Roman" w:cs="Times New Roman"/>
                <w:bCs/>
                <w:sz w:val="24"/>
                <w:szCs w:val="24"/>
              </w:rPr>
              <w:t>держке хозяйствующих субъектов, реализующих перспективные и приор</w:t>
            </w:r>
            <w:r w:rsidRPr="00FA246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A2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тетные инновационные </w:t>
            </w:r>
            <w:r w:rsidRPr="00FA24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3140" w:type="dxa"/>
          </w:tcPr>
          <w:p w:rsidR="00E94648" w:rsidRPr="00FA2461" w:rsidRDefault="00E94648" w:rsidP="00FA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уплату л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зинговых платежей по д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говорам лизинга, заключе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 xml:space="preserve">ным хозяйствующими 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с российскими лизинговыми компаниями на приобретение технол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гического оборудования, используемого для реализ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ции перспективных и при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ритетных инновационных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648" w:rsidRDefault="00E94648" w:rsidP="00FA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E94648" w:rsidRPr="00390689" w:rsidRDefault="00E94648" w:rsidP="002C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предоставляется юридическим лицам и (или) индивидуальным предпринимателям, зар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гистрированным на территории Чувашской Ре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публики, по результатам конкурсного отбора 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новационных проектов. Возмещению за счет 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республиканского бюджета Чувашской Республики подлежат затраты на уплату проце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тов по кредитам, привлеченным победителем 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бора на реализацию инновационного проекта, в размере 2/3 ключевой ставки Банка России, де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ствующей на дату оформления кредитного дог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вора, с начала года, в котором принято решение о признании инновационного проекта перспекти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ным и приоритетным и об оказании ему госуда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ственной поддержки, до даты уплаты кредита в соответствии с графиком выплаты кредита и уплаты процентов по нему, но не более процен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ной ставки по кредитному договору и в общей сумме за весь период кредитования не более 5 млн. рублей</w:t>
            </w:r>
          </w:p>
        </w:tc>
      </w:tr>
      <w:tr w:rsidR="00E94648" w:rsidRPr="00706E4C" w:rsidTr="00AF5242">
        <w:tc>
          <w:tcPr>
            <w:tcW w:w="611" w:type="dxa"/>
            <w:vMerge/>
          </w:tcPr>
          <w:p w:rsidR="00E94648" w:rsidRDefault="00E94648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E94648" w:rsidRPr="00A62740" w:rsidRDefault="00E94648" w:rsidP="00A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E94648" w:rsidRPr="00FA2461" w:rsidRDefault="00E94648" w:rsidP="00FA2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:rsidR="00E94648" w:rsidRDefault="00E94648" w:rsidP="00FA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уплату пр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центов по кредитам, пр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влеченным хозяйствующ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ми субъектами, реализу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щими на территории Ч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вашской Республики пе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461">
              <w:rPr>
                <w:rFonts w:ascii="Times New Roman" w:hAnsi="Times New Roman" w:cs="Times New Roman"/>
                <w:sz w:val="24"/>
                <w:szCs w:val="24"/>
              </w:rPr>
              <w:t>спективные и приоритетные инновационные проекты</w:t>
            </w:r>
          </w:p>
        </w:tc>
        <w:tc>
          <w:tcPr>
            <w:tcW w:w="5439" w:type="dxa"/>
          </w:tcPr>
          <w:p w:rsidR="00E94648" w:rsidRPr="00390689" w:rsidRDefault="002C434E" w:rsidP="002C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убсидия предоставляется юридическим лицам и (или) индивидуальным предпринимателям, зар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гистрированным на территории Чувашской Ре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публики, по результатам конкурсного отбора и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новационных проектов. Возмещению за счет средств республиканского бюджета Чувашской Республики подлежат затраты на уплату лизинг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вых платежей по договорам лизинга, заключе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ным хозяйствующими субъектами с российскими лизинговыми компаниями на приобретение те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нологического оборудования, используемого для реализации инновационных проектов, в размере 2/3 ключевой ставки Банка России, действующей на дату оформления договора лизинга, с начала года, в котором принято решение о признании и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новационного проекта перспективным и приор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тетным и об оказании ему государственной по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держки, до даты окончания срока договора лизи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га, но не более процентной ставки по договору лизинга и в общей сумме за весь период кредит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648" w:rsidRPr="00390689">
              <w:rPr>
                <w:rFonts w:ascii="Times New Roman" w:hAnsi="Times New Roman" w:cs="Times New Roman"/>
                <w:sz w:val="24"/>
                <w:szCs w:val="24"/>
              </w:rPr>
              <w:t>вания не более 5 млн. рублей</w:t>
            </w:r>
          </w:p>
        </w:tc>
      </w:tr>
      <w:tr w:rsidR="00FA2461" w:rsidRPr="00706E4C" w:rsidTr="00AF5242">
        <w:tc>
          <w:tcPr>
            <w:tcW w:w="611" w:type="dxa"/>
          </w:tcPr>
          <w:p w:rsidR="00FA2461" w:rsidRPr="00706E4C" w:rsidRDefault="002C434E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FA2461" w:rsidRDefault="00FA2461" w:rsidP="002C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E4C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  <w:p w:rsidR="00FA2461" w:rsidRDefault="00FA2461" w:rsidP="002C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C">
              <w:rPr>
                <w:rFonts w:ascii="Times New Roman" w:hAnsi="Times New Roman" w:cs="Times New Roman"/>
                <w:sz w:val="24"/>
                <w:szCs w:val="24"/>
              </w:rPr>
              <w:t>Кабинета Министров</w:t>
            </w:r>
          </w:p>
          <w:p w:rsidR="00FA2461" w:rsidRDefault="00FA2461" w:rsidP="002C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2C434E" w:rsidRDefault="00FA2461" w:rsidP="005D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апреля 2016</w:t>
            </w:r>
            <w:r w:rsidRPr="00706E4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A2461" w:rsidRPr="00706E4C" w:rsidRDefault="00FA2461" w:rsidP="005D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08" w:type="dxa"/>
          </w:tcPr>
          <w:p w:rsidR="00FA2461" w:rsidRPr="00706E4C" w:rsidRDefault="002812F2" w:rsidP="002C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на ко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курсной основе субсидий на возмещение части з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трат, связанных с прио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ретением оборудования в целях создания и (или) развития либо модерн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зации производства тов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ров, за счет средств ре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публиканского бюджета Чувашской Республики и о внесении изменения в постановление Кабинета Министров Чувашской Республики от 13 января 2005 г. 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12F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40" w:type="dxa"/>
          </w:tcPr>
          <w:p w:rsidR="00803C45" w:rsidRDefault="00803C45" w:rsidP="00803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- инвесторам,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щимся субъектами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деятельности, осуществляющим вложение собственных, заемных или привлеченных средств в форме инвестиций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печивающим их целевое использование, на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части затрат,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 приобретением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в целях создания и (или) развития либо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дернизации производства товаров, в рамках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инвестиционных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стоимостью от 100,0 млн. рублей, одобренных Советом по инвестицио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политике.</w:t>
            </w:r>
          </w:p>
          <w:p w:rsidR="00FA2461" w:rsidRPr="00706E4C" w:rsidRDefault="00FA2461" w:rsidP="004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B97ECD" w:rsidRPr="00390689" w:rsidRDefault="00B97ECD" w:rsidP="004E5B54">
            <w:pPr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претендентам, пр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шедшим конкурсный отбор, в размере 50 проце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тов произведенных затрат, связанных с приобр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тением оборудования, без учета налога на доба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ленную стоимость на основании документов, по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тверждающих осуществление ими затрат на пр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обретение оборудования в предыдущем и (или) текущем финансовых годах.</w:t>
            </w:r>
          </w:p>
          <w:p w:rsidR="00FA2461" w:rsidRPr="00390689" w:rsidRDefault="00B97ECD" w:rsidP="004E5B54">
            <w:pPr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Размер субсидии на одного получателя субс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89">
              <w:rPr>
                <w:rFonts w:ascii="Times New Roman" w:hAnsi="Times New Roman" w:cs="Times New Roman"/>
                <w:sz w:val="24"/>
                <w:szCs w:val="24"/>
              </w:rPr>
              <w:t>дии не должен превышать 10 млн. рублей.</w:t>
            </w:r>
          </w:p>
        </w:tc>
      </w:tr>
      <w:tr w:rsidR="00FA2461" w:rsidRPr="00706E4C" w:rsidTr="00AF5242">
        <w:tc>
          <w:tcPr>
            <w:tcW w:w="611" w:type="dxa"/>
          </w:tcPr>
          <w:p w:rsidR="00FA2461" w:rsidRPr="00706E4C" w:rsidRDefault="002C434E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E94648" w:rsidRPr="00E94648" w:rsidRDefault="00E94648" w:rsidP="00E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94648" w:rsidRPr="00E94648" w:rsidRDefault="00E94648" w:rsidP="00E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Кабинета Министров</w:t>
            </w:r>
          </w:p>
          <w:p w:rsidR="00E94648" w:rsidRPr="00E94648" w:rsidRDefault="00E94648" w:rsidP="00E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A2461" w:rsidRPr="00706E4C" w:rsidRDefault="00E94648" w:rsidP="00E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июля 2017 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908" w:type="dxa"/>
          </w:tcPr>
          <w:p w:rsidR="00FA2461" w:rsidRPr="00706E4C" w:rsidRDefault="00E94648" w:rsidP="004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отбора инвестиционных проектов, неотъемлемой частью которых является строительство (реко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струкция) объектов кап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тального строительства инженерной и транспор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3140" w:type="dxa"/>
          </w:tcPr>
          <w:p w:rsidR="00FA2461" w:rsidRPr="00706E4C" w:rsidRDefault="00E94648" w:rsidP="004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инансирование строител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ства (реконструкции) об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тельства инженерной и транспортной инфрастру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5439" w:type="dxa"/>
          </w:tcPr>
          <w:p w:rsidR="004E5B54" w:rsidRPr="00840954" w:rsidRDefault="004E5B54" w:rsidP="004E5B54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строительства (реконструкции) объектов капитального строительства инженерной и транспортной инфраструктуры осуществляется 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t>АУ ЧР «Фонд развития промышленности и инв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 в Чувашской Республ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t>ке» Министерства экономического развития, пр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мышленности и торговли Чувашской Республики </w:t>
            </w: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 Ч</w:t>
            </w: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>вашской Республики в следующих размерах:</w:t>
            </w:r>
          </w:p>
          <w:p w:rsidR="004E5B54" w:rsidRPr="00840954" w:rsidRDefault="004E5B54" w:rsidP="004E5B54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>при реализации инвестиционных проектов с объемом инвестиций от 400 млн. рублей до 1,0 млрд. рублей включительно размер финансиров</w:t>
            </w: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>ния составляет не более 100 млн. рублей;</w:t>
            </w:r>
          </w:p>
          <w:p w:rsidR="004E5B54" w:rsidRPr="00840954" w:rsidRDefault="004E5B54" w:rsidP="004E5B54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>при реализации инвестиционных проектов с объемом инвестиций свыше 1,0 млрд. рублей и до 3,0 млрд. рублей - не более 200 млн. рублей;</w:t>
            </w:r>
          </w:p>
          <w:p w:rsidR="00FA2461" w:rsidRPr="00840954" w:rsidRDefault="004E5B54" w:rsidP="004E5B54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>при реализации инвестиционных проектов с объемом инвестиций 3,0 млрд. рублей и выше - не более 300 млн. рублей.</w:t>
            </w:r>
          </w:p>
        </w:tc>
      </w:tr>
      <w:tr w:rsidR="00343806" w:rsidRPr="00706E4C" w:rsidTr="00AF5242">
        <w:tc>
          <w:tcPr>
            <w:tcW w:w="611" w:type="dxa"/>
          </w:tcPr>
          <w:p w:rsidR="00343806" w:rsidRPr="00706E4C" w:rsidRDefault="002C434E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3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343806" w:rsidRDefault="00343806" w:rsidP="0050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ротокол Наблюдател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ного совета АУ Чува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ской Республики «Фонд развития промышленн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сти и инвестиционной деятельности в Чува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ской Республике» Минэкономразвития Ч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  <w:p w:rsidR="00343806" w:rsidRPr="00706E4C" w:rsidRDefault="00343806" w:rsidP="0050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октября 2017 г. № 5</w:t>
            </w:r>
          </w:p>
        </w:tc>
        <w:tc>
          <w:tcPr>
            <w:tcW w:w="2908" w:type="dxa"/>
          </w:tcPr>
          <w:p w:rsidR="00954F2C" w:rsidRPr="00706E4C" w:rsidRDefault="003B5B84" w:rsidP="0086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АУ Чувашской Респу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лики «Фонд развития промышленности и инв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 в Чувашской Республ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ке» Минэкономразвития Чувашии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 xml:space="preserve"> займов на ре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>лизацию проектов суб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>ектов инвестиционной деятельности в Чува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>ской Республике</w:t>
            </w:r>
          </w:p>
        </w:tc>
        <w:tc>
          <w:tcPr>
            <w:tcW w:w="3140" w:type="dxa"/>
          </w:tcPr>
          <w:p w:rsidR="00343806" w:rsidRDefault="00343806" w:rsidP="00502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редоставление целевых займов на реализацию пр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ектов субъектов инвестиц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в Ч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вашской Республике</w:t>
            </w:r>
          </w:p>
          <w:p w:rsidR="00343806" w:rsidRPr="00706E4C" w:rsidRDefault="00343806" w:rsidP="00502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9B4F83" w:rsidRPr="009B4F83" w:rsidRDefault="009B4F83" w:rsidP="009B4F83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F83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Программа направлена на </w:t>
            </w:r>
            <w:r w:rsidRPr="009B4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поддержку </w:t>
            </w:r>
            <w:r w:rsidRPr="009B4F83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проектов, пред</w:t>
            </w:r>
            <w:r w:rsidRPr="009B4F83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у</w:t>
            </w:r>
            <w:r w:rsidRPr="009B4F83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сматривающих внедрение передовых технологий, создание новых продуктов или организацию импортозамещающих производств в рамках отраслевых направлений экономич</w:t>
            </w:r>
            <w:r w:rsidRPr="009B4F83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е</w:t>
            </w:r>
            <w:r w:rsidRPr="009B4F83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ской деятельности, таких как производство пищевых пр</w:t>
            </w:r>
            <w:r w:rsidRPr="009B4F83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о</w:t>
            </w:r>
            <w:r w:rsidRPr="009B4F83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дуктов и сельское хозяйство.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tbl>
            <w:tblPr>
              <w:tblStyle w:val="a3"/>
              <w:tblW w:w="5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3"/>
              <w:gridCol w:w="3260"/>
            </w:tblGrid>
            <w:tr w:rsidR="009B4F83" w:rsidRPr="009B4F83" w:rsidTr="002C434E">
              <w:trPr>
                <w:trHeight w:val="74"/>
              </w:trPr>
              <w:tc>
                <w:tcPr>
                  <w:tcW w:w="1963" w:type="dxa"/>
                </w:tcPr>
                <w:p w:rsidR="009B4F83" w:rsidRPr="009B4F83" w:rsidRDefault="009B4F83" w:rsidP="009B4F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проекта</w:t>
                  </w:r>
                </w:p>
              </w:tc>
              <w:tc>
                <w:tcPr>
                  <w:tcW w:w="3260" w:type="dxa"/>
                </w:tcPr>
                <w:p w:rsidR="009B4F83" w:rsidRPr="009B4F83" w:rsidRDefault="009B4F83" w:rsidP="009B4F83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6"/>
                    </w:tabs>
                    <w:ind w:left="-97" w:firstLine="9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00,0 </w:t>
                  </w:r>
                  <w:proofErr w:type="spellStart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spellEnd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рублей</w:t>
                  </w:r>
                  <w:proofErr w:type="spellEnd"/>
                </w:p>
              </w:tc>
            </w:tr>
            <w:tr w:rsidR="009B4F83" w:rsidRPr="009B4F83" w:rsidTr="002C434E">
              <w:trPr>
                <w:trHeight w:val="74"/>
              </w:trPr>
              <w:tc>
                <w:tcPr>
                  <w:tcW w:w="1963" w:type="dxa"/>
                </w:tcPr>
                <w:p w:rsidR="009B4F83" w:rsidRPr="009B4F83" w:rsidRDefault="009B4F83" w:rsidP="009B4F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займа</w:t>
                  </w:r>
                </w:p>
              </w:tc>
              <w:tc>
                <w:tcPr>
                  <w:tcW w:w="3260" w:type="dxa"/>
                </w:tcPr>
                <w:p w:rsidR="009B4F83" w:rsidRPr="009B4F83" w:rsidRDefault="009B4F83" w:rsidP="009B4F83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6"/>
                    </w:tabs>
                    <w:ind w:left="-97" w:firstLine="9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,0 </w:t>
                  </w:r>
                  <w:proofErr w:type="spellStart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proofErr w:type="spellEnd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00,0 </w:t>
                  </w:r>
                  <w:proofErr w:type="spellStart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spellEnd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рублей</w:t>
                  </w:r>
                  <w:proofErr w:type="spellEnd"/>
                </w:p>
              </w:tc>
            </w:tr>
            <w:tr w:rsidR="009B4F83" w:rsidRPr="009B4F83" w:rsidTr="002C434E">
              <w:trPr>
                <w:trHeight w:val="1213"/>
              </w:trPr>
              <w:tc>
                <w:tcPr>
                  <w:tcW w:w="1963" w:type="dxa"/>
                </w:tcPr>
                <w:p w:rsidR="009B4F83" w:rsidRPr="009B4F83" w:rsidRDefault="009B4F83" w:rsidP="009B4F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Процентная ставка</w:t>
                  </w:r>
                </w:p>
              </w:tc>
              <w:tc>
                <w:tcPr>
                  <w:tcW w:w="3260" w:type="dxa"/>
                </w:tcPr>
                <w:p w:rsidR="009B4F83" w:rsidRPr="009B4F83" w:rsidRDefault="009B4F83" w:rsidP="002C434E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6"/>
                    </w:tabs>
                    <w:ind w:left="-97" w:firstLine="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¾ ключевой ставки Банка России (но не менее 5 %) для проектов с бюджетом от 200,0 млн рублей до 600,0 млн рублей</w:t>
                  </w:r>
                </w:p>
                <w:p w:rsidR="009B4F83" w:rsidRPr="009B4F83" w:rsidRDefault="009B4F83" w:rsidP="002C434E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6"/>
                    </w:tabs>
                    <w:ind w:left="-97" w:firstLine="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5% годовых для проектов с бюджетом свыше 600,0 млн рублей</w:t>
                  </w:r>
                </w:p>
              </w:tc>
            </w:tr>
            <w:tr w:rsidR="009B4F83" w:rsidRPr="009B4F83" w:rsidTr="002C434E">
              <w:trPr>
                <w:trHeight w:val="397"/>
              </w:trPr>
              <w:tc>
                <w:tcPr>
                  <w:tcW w:w="1963" w:type="dxa"/>
                </w:tcPr>
                <w:p w:rsidR="009B4F83" w:rsidRPr="009B4F83" w:rsidRDefault="009B4F83" w:rsidP="009B4F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 со стороны Заяв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теля, частных инв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сторов и банков</w:t>
                  </w:r>
                </w:p>
              </w:tc>
              <w:tc>
                <w:tcPr>
                  <w:tcW w:w="3260" w:type="dxa"/>
                </w:tcPr>
                <w:p w:rsidR="009B4F83" w:rsidRPr="009B4F83" w:rsidRDefault="009B4F83" w:rsidP="002C434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6"/>
                    </w:tabs>
                    <w:ind w:left="-97" w:firstLine="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не менее 50% бюджета проекта, при этом не менее 30% от суммы займа – за счет собственных средств Заявителя</w:t>
                  </w:r>
                </w:p>
              </w:tc>
            </w:tr>
            <w:tr w:rsidR="009B4F83" w:rsidRPr="009B4F83" w:rsidTr="002C434E">
              <w:trPr>
                <w:trHeight w:val="74"/>
              </w:trPr>
              <w:tc>
                <w:tcPr>
                  <w:tcW w:w="1963" w:type="dxa"/>
                </w:tcPr>
                <w:p w:rsidR="009B4F83" w:rsidRPr="009B4F83" w:rsidRDefault="009B4F83" w:rsidP="009B4F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займа</w:t>
                  </w:r>
                </w:p>
              </w:tc>
              <w:tc>
                <w:tcPr>
                  <w:tcW w:w="3260" w:type="dxa"/>
                </w:tcPr>
                <w:p w:rsidR="009B4F83" w:rsidRPr="009B4F83" w:rsidRDefault="009B4F83" w:rsidP="009B4F83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6"/>
                    </w:tabs>
                    <w:ind w:left="-97" w:firstLine="9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</w:t>
                  </w:r>
                  <w:proofErr w:type="spellEnd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более</w:t>
                  </w:r>
                  <w:proofErr w:type="spellEnd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лет</w:t>
                  </w:r>
                  <w:proofErr w:type="spellEnd"/>
                </w:p>
              </w:tc>
            </w:tr>
            <w:tr w:rsidR="009B4F83" w:rsidRPr="009B4F83" w:rsidTr="002C434E">
              <w:trPr>
                <w:trHeight w:val="953"/>
              </w:trPr>
              <w:tc>
                <w:tcPr>
                  <w:tcW w:w="1963" w:type="dxa"/>
                </w:tcPr>
                <w:p w:rsidR="009B4F83" w:rsidRPr="009B4F83" w:rsidRDefault="009B4F83" w:rsidP="009B4F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займа</w:t>
                  </w:r>
                </w:p>
              </w:tc>
              <w:tc>
                <w:tcPr>
                  <w:tcW w:w="3260" w:type="dxa"/>
                </w:tcPr>
                <w:p w:rsidR="009B4F83" w:rsidRPr="009B4F83" w:rsidRDefault="009B4F83" w:rsidP="002C434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6"/>
                    </w:tabs>
                    <w:ind w:left="-97" w:firstLine="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погашение основного долга – равными ежеквартальными плат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жами в течение последних 2 лет срока займа</w:t>
                  </w:r>
                </w:p>
                <w:p w:rsidR="009B4F83" w:rsidRPr="009B4F83" w:rsidRDefault="009B4F83" w:rsidP="002C434E">
                  <w:pPr>
                    <w:tabs>
                      <w:tab w:val="left" w:pos="186"/>
                    </w:tabs>
                    <w:ind w:left="-97" w:firstLine="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погашение процентов – ежеква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9B4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тально, начиная с первого квартала после выдачи займа</w:t>
                  </w:r>
                </w:p>
              </w:tc>
            </w:tr>
          </w:tbl>
          <w:p w:rsidR="009B4F83" w:rsidRPr="009B4F83" w:rsidRDefault="009B4F83" w:rsidP="009B4F83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F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Направления расходования 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4F83">
              <w:rPr>
                <w:rFonts w:ascii="Times New Roman" w:hAnsi="Times New Roman" w:cs="Times New Roman"/>
                <w:sz w:val="20"/>
                <w:szCs w:val="20"/>
              </w:rPr>
              <w:t>создание и модернизаци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B4F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4F83" w:rsidRPr="009B4F83" w:rsidRDefault="009B4F83" w:rsidP="009B4F83">
            <w:pPr>
              <w:pStyle w:val="a8"/>
              <w:tabs>
                <w:tab w:val="left" w:pos="311"/>
              </w:tabs>
              <w:ind w:left="-18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 картофелехранилищ, овощехранилищ и тепличных ко</w:t>
            </w: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плексов;</w:t>
            </w:r>
          </w:p>
          <w:p w:rsidR="009B4F83" w:rsidRPr="009B4F83" w:rsidRDefault="009B4F83" w:rsidP="009B4F83">
            <w:pPr>
              <w:pStyle w:val="a8"/>
              <w:tabs>
                <w:tab w:val="left" w:pos="311"/>
              </w:tabs>
              <w:ind w:left="-18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 объектов животноводства, мясохладобоен, пунктов по приемке, первичной переработке сельскохозяйственных животных и молока (включая холодильную обработку и хранение мясной и молочной продукции);</w:t>
            </w:r>
          </w:p>
          <w:p w:rsidR="009B4F83" w:rsidRPr="009B4F83" w:rsidRDefault="009B4F83" w:rsidP="009B4F83">
            <w:pPr>
              <w:pStyle w:val="a8"/>
              <w:tabs>
                <w:tab w:val="left" w:pos="311"/>
              </w:tabs>
              <w:ind w:left="-18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 предприятий по производству цельномолочной проду</w:t>
            </w: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ции, сыров и сливочного масла, цехов и участков по перер</w:t>
            </w: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ботке и сушке сыворотки;</w:t>
            </w:r>
          </w:p>
          <w:p w:rsidR="009B4F83" w:rsidRPr="009B4F83" w:rsidRDefault="009B4F83" w:rsidP="009B4F83">
            <w:pPr>
              <w:pStyle w:val="a8"/>
              <w:tabs>
                <w:tab w:val="left" w:pos="311"/>
              </w:tabs>
              <w:ind w:left="-18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 комбикормовых предприятий и цехов;</w:t>
            </w:r>
          </w:p>
          <w:p w:rsidR="009B4F83" w:rsidRPr="009B4F83" w:rsidRDefault="009B4F83" w:rsidP="009B4F83">
            <w:pPr>
              <w:pStyle w:val="a8"/>
              <w:tabs>
                <w:tab w:val="left" w:pos="311"/>
              </w:tabs>
              <w:ind w:left="-18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4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 предприятий по производству напитков.</w:t>
            </w:r>
          </w:p>
          <w:p w:rsidR="00343806" w:rsidRPr="009B4F83" w:rsidRDefault="00343806" w:rsidP="00490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F2C" w:rsidRPr="00706E4C" w:rsidTr="00AF5242">
        <w:tc>
          <w:tcPr>
            <w:tcW w:w="611" w:type="dxa"/>
            <w:vMerge w:val="restart"/>
          </w:tcPr>
          <w:p w:rsidR="00954F2C" w:rsidRPr="00706E4C" w:rsidRDefault="002C434E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vMerge w:val="restart"/>
          </w:tcPr>
          <w:p w:rsidR="00954F2C" w:rsidRDefault="00954F2C" w:rsidP="000C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ротокол Наблюдател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ного совета АУ Чува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ской Республики «Фонд развития промышленн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сти и инвестиционной деятельности в Чува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ской Республике» Минэкономразвития Ч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  <w:p w:rsidR="00954F2C" w:rsidRPr="00706E4C" w:rsidRDefault="00954F2C" w:rsidP="000C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D8">
              <w:rPr>
                <w:rFonts w:ascii="Times New Roman" w:hAnsi="Times New Roman" w:cs="Times New Roman"/>
                <w:sz w:val="24"/>
                <w:szCs w:val="24"/>
              </w:rPr>
              <w:t>от 26 декабря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D8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908" w:type="dxa"/>
            <w:vMerge w:val="restart"/>
          </w:tcPr>
          <w:p w:rsidR="00954F2C" w:rsidRPr="00706E4C" w:rsidRDefault="00954F2C" w:rsidP="004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АУ Чувашской Респу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лики «Фонд развития промышленности и инв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 в Чувашской Республ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ке» Минэкономразвития Чувашии</w:t>
            </w:r>
            <w:r w:rsidRPr="003B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2C">
              <w:rPr>
                <w:rFonts w:ascii="Times New Roman" w:hAnsi="Times New Roman" w:cs="Times New Roman"/>
                <w:sz w:val="24"/>
                <w:szCs w:val="24"/>
              </w:rPr>
              <w:t>займов на ре</w:t>
            </w:r>
            <w:r w:rsidRPr="00954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F2C">
              <w:rPr>
                <w:rFonts w:ascii="Times New Roman" w:hAnsi="Times New Roman" w:cs="Times New Roman"/>
                <w:sz w:val="24"/>
                <w:szCs w:val="24"/>
              </w:rPr>
              <w:t>лизацию проектов в сф</w:t>
            </w:r>
            <w:r w:rsidRPr="00954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4F2C">
              <w:rPr>
                <w:rFonts w:ascii="Times New Roman" w:hAnsi="Times New Roman" w:cs="Times New Roman"/>
                <w:sz w:val="24"/>
                <w:szCs w:val="24"/>
              </w:rPr>
              <w:t>ре развития промышле</w:t>
            </w:r>
            <w:r w:rsidRPr="00954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F2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40" w:type="dxa"/>
          </w:tcPr>
          <w:p w:rsidR="00954F2C" w:rsidRPr="00706E4C" w:rsidRDefault="00954F2C" w:rsidP="004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редоставление целевых займов на реализацию пр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ектов в сфере развития промышленности</w:t>
            </w:r>
          </w:p>
        </w:tc>
        <w:tc>
          <w:tcPr>
            <w:tcW w:w="5439" w:type="dxa"/>
          </w:tcPr>
          <w:p w:rsidR="00D30977" w:rsidRPr="00D30977" w:rsidRDefault="00D30977" w:rsidP="00D3097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097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Программа направлена на 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поддержку новых инвестиц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онных проектов, предусматривающих внедрение передовых технологий, создание новых продуктов или организацию импортозамещающих производств в рамках приоритетных направлений промышленности. </w:t>
            </w:r>
          </w:p>
          <w:tbl>
            <w:tblPr>
              <w:tblStyle w:val="a3"/>
              <w:tblW w:w="5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3"/>
              <w:gridCol w:w="3260"/>
            </w:tblGrid>
            <w:tr w:rsidR="00D30977" w:rsidRPr="00D30977" w:rsidTr="002C434E">
              <w:trPr>
                <w:trHeight w:val="258"/>
              </w:trPr>
              <w:tc>
                <w:tcPr>
                  <w:tcW w:w="1963" w:type="dxa"/>
                </w:tcPr>
                <w:p w:rsidR="00D30977" w:rsidRPr="00D30977" w:rsidRDefault="00D30977" w:rsidP="00D309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проекта</w:t>
                  </w:r>
                </w:p>
              </w:tc>
              <w:tc>
                <w:tcPr>
                  <w:tcW w:w="3260" w:type="dxa"/>
                </w:tcPr>
                <w:p w:rsidR="00D30977" w:rsidRPr="00D30977" w:rsidRDefault="00D30977" w:rsidP="00D3097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231"/>
                    </w:tabs>
                    <w:ind w:left="181" w:hanging="1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100,0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spellEnd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рублей</w:t>
                  </w:r>
                  <w:proofErr w:type="spellEnd"/>
                </w:p>
              </w:tc>
            </w:tr>
            <w:tr w:rsidR="00D30977" w:rsidRPr="00D30977" w:rsidTr="002C434E">
              <w:trPr>
                <w:trHeight w:val="148"/>
              </w:trPr>
              <w:tc>
                <w:tcPr>
                  <w:tcW w:w="1963" w:type="dxa"/>
                </w:tcPr>
                <w:p w:rsidR="00D30977" w:rsidRPr="00D30977" w:rsidRDefault="00D30977" w:rsidP="00D309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займа</w:t>
                  </w:r>
                </w:p>
              </w:tc>
              <w:tc>
                <w:tcPr>
                  <w:tcW w:w="3260" w:type="dxa"/>
                </w:tcPr>
                <w:p w:rsidR="00D30977" w:rsidRPr="00D30977" w:rsidRDefault="00D30977" w:rsidP="00D3097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231"/>
                    </w:tabs>
                    <w:ind w:left="181" w:hanging="1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25,0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proofErr w:type="spellEnd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500,0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spellEnd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рублей</w:t>
                  </w:r>
                  <w:proofErr w:type="spellEnd"/>
                </w:p>
              </w:tc>
            </w:tr>
            <w:tr w:rsidR="00D30977" w:rsidRPr="00D30977" w:rsidTr="002C434E">
              <w:trPr>
                <w:trHeight w:val="1558"/>
              </w:trPr>
              <w:tc>
                <w:tcPr>
                  <w:tcW w:w="1963" w:type="dxa"/>
                </w:tcPr>
                <w:p w:rsidR="00D30977" w:rsidRPr="00D30977" w:rsidRDefault="00D30977" w:rsidP="00D309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Процентная ставка</w:t>
                  </w:r>
                </w:p>
              </w:tc>
              <w:tc>
                <w:tcPr>
                  <w:tcW w:w="3260" w:type="dxa"/>
                </w:tcPr>
                <w:p w:rsidR="00D30977" w:rsidRPr="00D30977" w:rsidRDefault="00D30977" w:rsidP="002C434E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-102" w:firstLine="1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3%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первые</w:t>
                  </w:r>
                  <w:proofErr w:type="spellEnd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три</w:t>
                  </w:r>
                  <w:proofErr w:type="spellEnd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</w:t>
                  </w:r>
                  <w:proofErr w:type="spellEnd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D30977" w:rsidRPr="00D30977" w:rsidRDefault="00D30977" w:rsidP="002C434E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-102" w:firstLine="1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5% в последующий периоды, </w:t>
                  </w:r>
                </w:p>
                <w:p w:rsidR="00D30977" w:rsidRPr="00D30977" w:rsidRDefault="00D30977" w:rsidP="002C434E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-102" w:firstLine="1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снижение на 0,5% при пред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ставлении на всю сумму займа и на весь срок займа обеспечения в виде независимых гарантий кредитных организаций</w:t>
                  </w:r>
                </w:p>
              </w:tc>
            </w:tr>
            <w:tr w:rsidR="00D30977" w:rsidRPr="00D30977" w:rsidTr="002C434E">
              <w:trPr>
                <w:trHeight w:val="990"/>
              </w:trPr>
              <w:tc>
                <w:tcPr>
                  <w:tcW w:w="1963" w:type="dxa"/>
                </w:tcPr>
                <w:p w:rsidR="00D30977" w:rsidRPr="00D30977" w:rsidRDefault="00D30977" w:rsidP="00D309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 со стороны Заяв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теля, частных инв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сторов и банков</w:t>
                  </w:r>
                </w:p>
              </w:tc>
              <w:tc>
                <w:tcPr>
                  <w:tcW w:w="3260" w:type="dxa"/>
                </w:tcPr>
                <w:p w:rsidR="00D30977" w:rsidRPr="00D30977" w:rsidRDefault="00D30977" w:rsidP="002C434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не менее 50% бюджета проекта, при этом не менее 30% от суммы займа – за счет собственных средств Заявителя</w:t>
                  </w:r>
                </w:p>
              </w:tc>
            </w:tr>
            <w:tr w:rsidR="00D30977" w:rsidRPr="00D30977" w:rsidTr="002C434E">
              <w:trPr>
                <w:trHeight w:val="298"/>
              </w:trPr>
              <w:tc>
                <w:tcPr>
                  <w:tcW w:w="1963" w:type="dxa"/>
                </w:tcPr>
                <w:p w:rsidR="00D30977" w:rsidRPr="00D30977" w:rsidRDefault="00D30977" w:rsidP="00D309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займа</w:t>
                  </w:r>
                </w:p>
              </w:tc>
              <w:tc>
                <w:tcPr>
                  <w:tcW w:w="3260" w:type="dxa"/>
                </w:tcPr>
                <w:p w:rsidR="00D30977" w:rsidRPr="00D30977" w:rsidRDefault="00D30977" w:rsidP="002C434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231"/>
                    </w:tabs>
                    <w:ind w:left="181" w:hanging="18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</w:t>
                  </w:r>
                  <w:proofErr w:type="spellEnd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более</w:t>
                  </w:r>
                  <w:proofErr w:type="spellEnd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лет</w:t>
                  </w:r>
                  <w:proofErr w:type="spellEnd"/>
                </w:p>
              </w:tc>
            </w:tr>
            <w:tr w:rsidR="00D30977" w:rsidRPr="00D30977" w:rsidTr="002C434E">
              <w:trPr>
                <w:trHeight w:val="1358"/>
              </w:trPr>
              <w:tc>
                <w:tcPr>
                  <w:tcW w:w="1963" w:type="dxa"/>
                </w:tcPr>
                <w:p w:rsidR="00D30977" w:rsidRPr="00D30977" w:rsidRDefault="00D30977" w:rsidP="00D309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Погашение займа</w:t>
                  </w:r>
                </w:p>
              </w:tc>
              <w:tc>
                <w:tcPr>
                  <w:tcW w:w="3260" w:type="dxa"/>
                </w:tcPr>
                <w:p w:rsidR="00D30977" w:rsidRPr="00D30977" w:rsidRDefault="00D30977" w:rsidP="002C434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погашение основного долга – равными ежеквартальными плат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жами в течение последних 2 лет срока займа</w:t>
                  </w:r>
                </w:p>
                <w:p w:rsidR="00D30977" w:rsidRPr="00D30977" w:rsidRDefault="00D30977" w:rsidP="002C434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погашение процентов – ежеква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</w:t>
                  </w:r>
                  <w:r w:rsidRPr="00D3097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тально, начиная с первого квартала после выдачи займа</w:t>
                  </w:r>
                </w:p>
              </w:tc>
            </w:tr>
          </w:tbl>
          <w:p w:rsidR="00D30977" w:rsidRPr="00D30977" w:rsidRDefault="00D30977" w:rsidP="00D30977">
            <w:pPr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977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 расходования:</w:t>
            </w:r>
          </w:p>
          <w:p w:rsidR="00D30977" w:rsidRPr="00D30977" w:rsidRDefault="00D30977" w:rsidP="00D30977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-2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spellEnd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proofErr w:type="spellEnd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  <w:proofErr w:type="spellEnd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30977" w:rsidRPr="00D30977" w:rsidRDefault="00D30977" w:rsidP="00D30977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-23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или использование спец. оборудования для проведения ОКР;</w:t>
            </w:r>
          </w:p>
          <w:p w:rsidR="00D30977" w:rsidRPr="00D30977" w:rsidRDefault="00D30977" w:rsidP="00D30977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-23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разработка ТЭО инвестиционной стадии проекта, </w:t>
            </w:r>
            <w:proofErr w:type="spellStart"/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динвестиционный</w:t>
            </w:r>
            <w:proofErr w:type="spellEnd"/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 и оптимизация проекта; </w:t>
            </w:r>
          </w:p>
          <w:p w:rsidR="00D30977" w:rsidRPr="00D30977" w:rsidRDefault="00D30977" w:rsidP="00D30977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-23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прав на результаты интеллектуальной де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тельности; </w:t>
            </w:r>
          </w:p>
          <w:p w:rsidR="00D30977" w:rsidRPr="00D30977" w:rsidRDefault="00D30977" w:rsidP="00D30977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-2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>инжиниринг</w:t>
            </w:r>
            <w:proofErr w:type="spellEnd"/>
            <w:r w:rsidRPr="00D3097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977" w:rsidRPr="00D30977" w:rsidRDefault="00D30977" w:rsidP="00D30977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-23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строительство или капитальный ремонт зданий, соор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жений, коммуникаций для организации производства;</w:t>
            </w:r>
          </w:p>
          <w:p w:rsidR="00D30977" w:rsidRPr="00D30977" w:rsidRDefault="00D30977" w:rsidP="00D30977">
            <w:pPr>
              <w:pStyle w:val="a8"/>
              <w:numPr>
                <w:ilvl w:val="0"/>
                <w:numId w:val="2"/>
              </w:numPr>
              <w:tabs>
                <w:tab w:val="left" w:pos="311"/>
              </w:tabs>
              <w:ind w:left="-23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в собственность промышленного обор</w:t>
            </w:r>
            <w:r w:rsidRPr="00D30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2C43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дования.</w:t>
            </w:r>
          </w:p>
          <w:p w:rsidR="00954F2C" w:rsidRPr="00D30977" w:rsidRDefault="00954F2C" w:rsidP="00490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F2C" w:rsidRPr="00706E4C" w:rsidTr="00AF5242">
        <w:tc>
          <w:tcPr>
            <w:tcW w:w="611" w:type="dxa"/>
            <w:vMerge/>
          </w:tcPr>
          <w:p w:rsidR="00954F2C" w:rsidRPr="00706E4C" w:rsidRDefault="00954F2C" w:rsidP="0049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954F2C" w:rsidRPr="00706E4C" w:rsidRDefault="00954F2C" w:rsidP="004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4F2C" w:rsidRPr="00706E4C" w:rsidRDefault="00954F2C" w:rsidP="004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954F2C" w:rsidRDefault="00954F2C" w:rsidP="004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редоставление совместных с ФГАУ «Российский Фонд технологического развития» целевых займов субъектам деятельности в сфере пр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мышленности на реализ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цию инвестиционных пр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ектов по программе «Пр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екты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39" w:type="dxa"/>
          </w:tcPr>
          <w:p w:rsidR="00AF5242" w:rsidRPr="00AF5242" w:rsidRDefault="00AF5242" w:rsidP="00AF5242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Программа «Проекты развития» направлена на льготное заёмное софинансирование проектов, способствующих и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портозамещению и производству конкурентоспособной продукции гражданского назначения.</w:t>
            </w:r>
          </w:p>
          <w:tbl>
            <w:tblPr>
              <w:tblStyle w:val="a3"/>
              <w:tblW w:w="5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3265"/>
            </w:tblGrid>
            <w:tr w:rsidR="00AF5242" w:rsidRPr="00AF5242" w:rsidTr="002C434E">
              <w:trPr>
                <w:trHeight w:val="258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проекта</w:t>
                  </w:r>
                </w:p>
              </w:tc>
              <w:tc>
                <w:tcPr>
                  <w:tcW w:w="3402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231"/>
                    </w:tabs>
                    <w:ind w:left="181" w:hanging="1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от 40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млн</w:t>
                  </w:r>
                  <w:proofErr w:type="spellEnd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рублей</w:t>
                  </w:r>
                  <w:proofErr w:type="spellEnd"/>
                </w:p>
              </w:tc>
            </w:tr>
            <w:tr w:rsidR="00AF5242" w:rsidRPr="00AF5242" w:rsidTr="002C434E">
              <w:trPr>
                <w:trHeight w:val="148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займа</w:t>
                  </w:r>
                </w:p>
              </w:tc>
              <w:tc>
                <w:tcPr>
                  <w:tcW w:w="3402" w:type="dxa"/>
                </w:tcPr>
                <w:p w:rsidR="00AF5242" w:rsidRPr="00AF5242" w:rsidRDefault="002C434E" w:rsidP="002C434E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231"/>
                    </w:tabs>
                    <w:ind w:left="181" w:hanging="1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 20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до</w:t>
                  </w:r>
                  <w:r w:rsidR="00AF5242"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 100 </w:t>
                  </w:r>
                  <w:proofErr w:type="spellStart"/>
                  <w:r w:rsidR="00AF5242"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млн</w:t>
                  </w:r>
                  <w:proofErr w:type="spellEnd"/>
                  <w:r w:rsidR="00AF5242"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AF5242"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рублей</w:t>
                  </w:r>
                  <w:proofErr w:type="spellEnd"/>
                </w:p>
              </w:tc>
            </w:tr>
            <w:tr w:rsidR="00AF5242" w:rsidRPr="00AF5242" w:rsidTr="002C434E">
              <w:trPr>
                <w:trHeight w:val="1150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Процентная ставка</w:t>
                  </w:r>
                </w:p>
              </w:tc>
              <w:tc>
                <w:tcPr>
                  <w:tcW w:w="3402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5% </w:t>
                  </w:r>
                  <w:r w:rsidR="002C434E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базовая ставка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3% в первые 3 года при банко</w:t>
                  </w: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в</w:t>
                  </w: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ской гарантии</w:t>
                  </w:r>
                </w:p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2% от базовой ставки при поку</w:t>
                  </w: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п</w:t>
                  </w: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ке российского оборудования</w:t>
                  </w:r>
                </w:p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1% при экспорте ≥50% проду</w:t>
                  </w: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к</w:t>
                  </w: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ции от суммы займа в год</w:t>
                  </w:r>
                </w:p>
              </w:tc>
            </w:tr>
            <w:tr w:rsidR="00AF5242" w:rsidRPr="00AF5242" w:rsidTr="002C434E">
              <w:trPr>
                <w:trHeight w:val="463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Целевой объем продаж</w:t>
                  </w:r>
                </w:p>
              </w:tc>
              <w:tc>
                <w:tcPr>
                  <w:tcW w:w="3402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не менее 50% от суммы займа в год, начиная со 2 года серийного производства</w:t>
                  </w:r>
                </w:p>
              </w:tc>
            </w:tr>
            <w:tr w:rsidR="00AF5242" w:rsidRPr="00AF5242" w:rsidTr="002C434E">
              <w:trPr>
                <w:trHeight w:val="616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Софинансирование со стороны Заяв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теля, частных и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весторов и банков</w:t>
                  </w:r>
                </w:p>
              </w:tc>
              <w:tc>
                <w:tcPr>
                  <w:tcW w:w="3402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не менее 50% бюджета проекта, при этом не менее 15% от суммы займа – за счет собственных средств Заявителя</w:t>
                  </w:r>
                </w:p>
              </w:tc>
            </w:tr>
            <w:tr w:rsidR="00AF5242" w:rsidRPr="00AF5242" w:rsidTr="002C434E">
              <w:trPr>
                <w:trHeight w:val="74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займа</w:t>
                  </w:r>
                </w:p>
              </w:tc>
              <w:tc>
                <w:tcPr>
                  <w:tcW w:w="3402" w:type="dxa"/>
                </w:tcPr>
                <w:p w:rsidR="00AF5242" w:rsidRPr="00AF5242" w:rsidRDefault="002C434E" w:rsidP="002C434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231"/>
                    </w:tabs>
                    <w:ind w:left="181" w:hanging="1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не более 5 лет</w:t>
                  </w:r>
                </w:p>
              </w:tc>
            </w:tr>
            <w:tr w:rsidR="00AF5242" w:rsidRPr="00AF5242" w:rsidTr="002C434E">
              <w:trPr>
                <w:trHeight w:val="1112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займа</w:t>
                  </w:r>
                </w:p>
              </w:tc>
              <w:tc>
                <w:tcPr>
                  <w:tcW w:w="3402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погашение основного долга – равными ежеквартальными плат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жами в течение последних 2 лет срока займа</w:t>
                  </w:r>
                </w:p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погашение процентов – ежеква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тально, начиная с первого квартала после выдачи займа</w:t>
                  </w:r>
                </w:p>
              </w:tc>
            </w:tr>
          </w:tbl>
          <w:p w:rsidR="00954F2C" w:rsidRPr="00AF5242" w:rsidRDefault="00954F2C" w:rsidP="00490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42" w:rsidRPr="00706E4C" w:rsidTr="00AF5242">
        <w:tc>
          <w:tcPr>
            <w:tcW w:w="611" w:type="dxa"/>
            <w:vMerge/>
          </w:tcPr>
          <w:p w:rsidR="00AF5242" w:rsidRPr="00706E4C" w:rsidRDefault="00AF5242" w:rsidP="00A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AF5242" w:rsidRPr="00706E4C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F5242" w:rsidRPr="00706E4C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AF5242" w:rsidRPr="00706E4C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редоставление совместных с ФГАУ «Российский Фонд технологического развития» целевых займов субъектам деятельности в сфере пр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мышленности на реализ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цию инвестиционных пр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ектов по программе «Ко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2B9">
              <w:rPr>
                <w:rFonts w:ascii="Times New Roman" w:hAnsi="Times New Roman" w:cs="Times New Roman"/>
                <w:sz w:val="24"/>
                <w:szCs w:val="24"/>
              </w:rPr>
              <w:t>плектующие изделия»</w:t>
            </w:r>
          </w:p>
        </w:tc>
        <w:tc>
          <w:tcPr>
            <w:tcW w:w="5439" w:type="dxa"/>
          </w:tcPr>
          <w:p w:rsidR="00AF5242" w:rsidRPr="00AF5242" w:rsidRDefault="00AF5242" w:rsidP="00AF5242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Программа «Комплектующие изделия» нацелена на зае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ное финансирование проектов, направленных на организ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цию и/или модернизацию производства комплектующих изделий, применяемых в составе промышленной продукции, перечисленной в приложении к постановлению Правител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17 июля 2015 г. № 719 «О критериях отнесения промышленной продукции к промы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F5242">
              <w:rPr>
                <w:rFonts w:ascii="Times New Roman" w:hAnsi="Times New Roman" w:cs="Times New Roman"/>
                <w:sz w:val="20"/>
                <w:szCs w:val="20"/>
              </w:rPr>
              <w:t>ленной продукции, не имеющей аналогов, произведенных в Российской Федерации».</w:t>
            </w:r>
          </w:p>
          <w:tbl>
            <w:tblPr>
              <w:tblStyle w:val="a3"/>
              <w:tblW w:w="5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3352"/>
            </w:tblGrid>
            <w:tr w:rsidR="00AF5242" w:rsidRPr="00AF5242" w:rsidTr="002C434E">
              <w:trPr>
                <w:trHeight w:val="258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проекта</w:t>
                  </w:r>
                </w:p>
              </w:tc>
              <w:tc>
                <w:tcPr>
                  <w:tcW w:w="3489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231"/>
                    </w:tabs>
                    <w:ind w:left="181" w:hanging="1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25</w:t>
                  </w: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млн</w:t>
                  </w:r>
                  <w:proofErr w:type="spellEnd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рублей</w:t>
                  </w:r>
                  <w:proofErr w:type="spellEnd"/>
                </w:p>
              </w:tc>
            </w:tr>
            <w:tr w:rsidR="00AF5242" w:rsidRPr="00AF5242" w:rsidTr="002C434E">
              <w:trPr>
                <w:trHeight w:val="148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займа</w:t>
                  </w:r>
                </w:p>
              </w:tc>
              <w:tc>
                <w:tcPr>
                  <w:tcW w:w="3489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231"/>
                    </w:tabs>
                    <w:ind w:left="181" w:hanging="1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от 20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до</w:t>
                  </w:r>
                  <w:proofErr w:type="spellEnd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 100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млн</w:t>
                  </w:r>
                  <w:proofErr w:type="spellEnd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рублей</w:t>
                  </w:r>
                  <w:proofErr w:type="spellEnd"/>
                </w:p>
              </w:tc>
            </w:tr>
            <w:tr w:rsidR="00AF5242" w:rsidRPr="00AF5242" w:rsidTr="002C434E">
              <w:trPr>
                <w:trHeight w:val="126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Процентная ставка</w:t>
                  </w:r>
                </w:p>
              </w:tc>
              <w:tc>
                <w:tcPr>
                  <w:tcW w:w="3489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1 % в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первые</w:t>
                  </w:r>
                  <w:proofErr w:type="spellEnd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 3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года</w:t>
                  </w:r>
                  <w:proofErr w:type="spellEnd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5% в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оставшийся</w:t>
                  </w:r>
                  <w:proofErr w:type="spellEnd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срок</w:t>
                  </w:r>
                  <w:proofErr w:type="spellEnd"/>
                </w:p>
              </w:tc>
            </w:tr>
            <w:tr w:rsidR="00AF5242" w:rsidRPr="00AF5242" w:rsidTr="002C434E">
              <w:trPr>
                <w:trHeight w:val="76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Целевой объем продаж</w:t>
                  </w:r>
                </w:p>
              </w:tc>
              <w:tc>
                <w:tcPr>
                  <w:tcW w:w="3489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0"/>
                      <w:szCs w:val="20"/>
                      <w:lang w:val="ru-RU" w:eastAsia="ru-RU"/>
                    </w:rPr>
                    <w:t>не менее 30% от суммы займа в год, начиная со 2 года серийного производства</w:t>
                  </w:r>
                </w:p>
              </w:tc>
            </w:tr>
            <w:tr w:rsidR="00AF5242" w:rsidRPr="00AF5242" w:rsidTr="002C434E">
              <w:trPr>
                <w:trHeight w:val="417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 со стороны Заяв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теля, частных и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весторов и банков</w:t>
                  </w:r>
                </w:p>
              </w:tc>
              <w:tc>
                <w:tcPr>
                  <w:tcW w:w="3489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не менее 20% бюджета проекта</w:t>
                  </w:r>
                </w:p>
              </w:tc>
            </w:tr>
            <w:tr w:rsidR="00AF5242" w:rsidRPr="00AF5242" w:rsidTr="002C434E">
              <w:trPr>
                <w:trHeight w:val="74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займа</w:t>
                  </w:r>
                </w:p>
              </w:tc>
              <w:tc>
                <w:tcPr>
                  <w:tcW w:w="3489" w:type="dxa"/>
                </w:tcPr>
                <w:p w:rsidR="00AF5242" w:rsidRPr="00AF5242" w:rsidRDefault="002C434E" w:rsidP="00AF524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231"/>
                    </w:tabs>
                    <w:ind w:left="181" w:hanging="1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не более 5 лет</w:t>
                  </w:r>
                </w:p>
              </w:tc>
            </w:tr>
            <w:tr w:rsidR="00AF5242" w:rsidRPr="00AF5242" w:rsidTr="002C434E">
              <w:trPr>
                <w:trHeight w:val="589"/>
              </w:trPr>
              <w:tc>
                <w:tcPr>
                  <w:tcW w:w="1734" w:type="dxa"/>
                </w:tcPr>
                <w:p w:rsidR="00AF5242" w:rsidRPr="00AF5242" w:rsidRDefault="00AF5242" w:rsidP="00AF52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займа</w:t>
                  </w:r>
                </w:p>
              </w:tc>
              <w:tc>
                <w:tcPr>
                  <w:tcW w:w="3489" w:type="dxa"/>
                </w:tcPr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погашение основного долга – равными ежеквартальными платеж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ми в течение последних 2 лет срока займа</w:t>
                  </w:r>
                </w:p>
                <w:p w:rsidR="00AF5242" w:rsidRPr="00AF5242" w:rsidRDefault="00AF5242" w:rsidP="00AF5242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181"/>
                    </w:tabs>
                    <w:ind w:left="-102" w:firstLine="102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погашение процентов – ежеква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тально, начиная с первого квартала </w:t>
                  </w:r>
                  <w:r w:rsidRPr="00AF524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после выдачи займа</w:t>
                  </w:r>
                </w:p>
              </w:tc>
            </w:tr>
          </w:tbl>
          <w:p w:rsidR="00AF5242" w:rsidRPr="00AF5242" w:rsidRDefault="00AF5242" w:rsidP="00AF5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42" w:rsidRPr="00706E4C" w:rsidTr="00AF5242">
        <w:tc>
          <w:tcPr>
            <w:tcW w:w="611" w:type="dxa"/>
          </w:tcPr>
          <w:p w:rsidR="00AF5242" w:rsidRPr="00706E4C" w:rsidRDefault="002C434E" w:rsidP="00A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F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AF5242" w:rsidRPr="00706E4C" w:rsidRDefault="00AF5242" w:rsidP="00A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ротокол заседания Наблюдательного совета некоммерческой орган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Фонд содействия развитию венчурных и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вестиций в научно-технической сфере Ч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вашской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лики» от 10 марта 2017  г. № 24</w:t>
            </w:r>
          </w:p>
        </w:tc>
        <w:tc>
          <w:tcPr>
            <w:tcW w:w="2908" w:type="dxa"/>
          </w:tcPr>
          <w:p w:rsidR="00AF5242" w:rsidRPr="00706E4C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бора и финансирования инвестиционных прое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тов Некоммерческой о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ганизации «Фонд соде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ствия развитию венчу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ных инвестиций в нау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но-технической сфере Чувашской Республики»</w:t>
            </w:r>
          </w:p>
        </w:tc>
        <w:tc>
          <w:tcPr>
            <w:tcW w:w="3140" w:type="dxa"/>
          </w:tcPr>
          <w:p w:rsidR="00AF5242" w:rsidRPr="00706E4C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субъектами м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>нимательства в Чувашской Республике инновационных проектов в научно-технической сфере</w:t>
            </w:r>
          </w:p>
        </w:tc>
        <w:tc>
          <w:tcPr>
            <w:tcW w:w="5439" w:type="dxa"/>
          </w:tcPr>
          <w:p w:rsidR="00AF5242" w:rsidRPr="00840954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виде долевого участия в уставном капитале организации и (или) заемные средства в сумме, не менее 3 млн. рублей и не превышающей 50 млн. рублей. </w:t>
            </w:r>
          </w:p>
          <w:p w:rsidR="00AF5242" w:rsidRPr="00840954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за пользование заемными средствами устанавливается в размере от 8 до 15%. </w:t>
            </w:r>
          </w:p>
          <w:p w:rsidR="00AF5242" w:rsidRPr="00840954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заемных средств не может превышать 5 лет.</w:t>
            </w:r>
          </w:p>
        </w:tc>
      </w:tr>
      <w:tr w:rsidR="00AF5242" w:rsidRPr="00706E4C" w:rsidTr="00AF5242">
        <w:tc>
          <w:tcPr>
            <w:tcW w:w="611" w:type="dxa"/>
          </w:tcPr>
          <w:p w:rsidR="00AF5242" w:rsidRPr="00706E4C" w:rsidRDefault="008475C8" w:rsidP="00A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2" w:name="_GoBack"/>
            <w:bookmarkEnd w:id="2"/>
            <w:r w:rsidR="00AF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AF5242" w:rsidRPr="00E94648" w:rsidRDefault="00AF5242" w:rsidP="00A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F5242" w:rsidRPr="00E94648" w:rsidRDefault="00AF5242" w:rsidP="00A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Кабинета Министров</w:t>
            </w:r>
          </w:p>
          <w:p w:rsidR="00AF5242" w:rsidRPr="00E94648" w:rsidRDefault="00AF5242" w:rsidP="00A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AF5242" w:rsidRPr="00706E4C" w:rsidRDefault="00AF5242" w:rsidP="00AF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2015 г</w:t>
            </w:r>
            <w:r w:rsidRPr="00E94648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08" w:type="dxa"/>
          </w:tcPr>
          <w:p w:rsidR="00AF5242" w:rsidRPr="00F06807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едоставления субсидий из респуб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ликанского бюджета Чувашской Ре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публики на возмещение части прямых понесе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ных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 на создание и (или) модерни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зацию об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ектов агропромышленн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го комплекса</w:t>
            </w:r>
          </w:p>
        </w:tc>
        <w:tc>
          <w:tcPr>
            <w:tcW w:w="3140" w:type="dxa"/>
          </w:tcPr>
          <w:p w:rsidR="00AF5242" w:rsidRDefault="00AF5242" w:rsidP="00AF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прямых понесенных затрат сельскохозяйстве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ных товаропроизводителей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на создание и (или) моде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низацию объектов агропр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 xml:space="preserve">мышленного комплекса на территории Чувашской Республики </w:t>
            </w:r>
          </w:p>
        </w:tc>
        <w:tc>
          <w:tcPr>
            <w:tcW w:w="5439" w:type="dxa"/>
          </w:tcPr>
          <w:p w:rsidR="00AF5242" w:rsidRPr="00A921E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предусматривающих возмещение части прямых понесенных затрат по следующим направлениям:</w:t>
            </w:r>
          </w:p>
          <w:p w:rsidR="00AF5242" w:rsidRPr="00A921E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а) создание и (или) модернизация хранилищ, принадлежащих на праве собственности сельск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хозяйственным товаропроизводителям, за искл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чением граждан, ведущих личное подсобное х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зяйство, и российским организациям;</w:t>
            </w:r>
          </w:p>
          <w:p w:rsidR="00AF5242" w:rsidRPr="00A921E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б) создание и (или) модернизация тепличных комплексов для производства овощей в защище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ном грунте, принадлежащих на праве собственн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сти сельскохозяйственным товаропроизводит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лям, за исключением граждан, ведущих личное подсобное хозяйство, и российским организац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AF5242" w:rsidRPr="00A921E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в) создание и (или) модернизация животново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ческих комплексов молочного направления (м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лочных ферм), принадлежащих на праве со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ственности сельскохозяйственным товаропрои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водителям, за исключением граждан, ведущих 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подсобное хозяйство, и российским орг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низациям;</w:t>
            </w:r>
          </w:p>
          <w:p w:rsidR="00AF5242" w:rsidRPr="00A921E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г) создание и (или) модернизация селекционно-семеноводческих центров в растениеводстве, пр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собственности сельскох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зяйственным товаропроизводителям, за исключ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нием граждан, ведущих личное подсобное хозя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ство, и российским организациям;</w:t>
            </w:r>
          </w:p>
          <w:p w:rsidR="00AF5242" w:rsidRPr="00A921E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 xml:space="preserve">д) создание и (или) модернизация </w:t>
            </w:r>
            <w:proofErr w:type="spellStart"/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селекцио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но-питомниководческих</w:t>
            </w:r>
            <w:proofErr w:type="spellEnd"/>
            <w:r w:rsidRPr="00A921E0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в винограда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стве, принадлежащих на праве собственности сельскохозяйственным товаропроизводителям, за исключением граждан, ведущих личное подсо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ное хозяйство, и российским организациям;</w:t>
            </w:r>
          </w:p>
          <w:p w:rsidR="00AF5242" w:rsidRPr="00A921E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е) создание и модернизация селекционно-генетических центров в птицеводстве, принадл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жащих на праве собственности сельскохозя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товаропроизводителям, за исключением граждан, ведущих личное подсобное хозяйство, и российским организациям;</w:t>
            </w:r>
          </w:p>
          <w:p w:rsidR="00AF5242" w:rsidRPr="00A921E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ж) создание овцеводческих комплексов (ферм) мясного направления, принадлежащих на праве собственности сельскохозяйственным товаропр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изводителям, за исключением граждан, ведущих личное подсобное хозяйство, и российским орг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низациям;</w:t>
            </w:r>
          </w:p>
          <w:p w:rsidR="00AF5242" w:rsidRPr="00A921E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з) создание и модернизация мощностей по производству сухих молочных продуктов для де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ского питания и компонентов для них, принадл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жащих на праве собственности сельскохозя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 xml:space="preserve">ственным товаропроизводителям, за исключением граждан, ведущих личное подсобное хозяйство, и 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российским организациям;</w:t>
            </w:r>
          </w:p>
          <w:p w:rsidR="00AF5242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 xml:space="preserve">и) создание и модернизация </w:t>
            </w:r>
            <w:proofErr w:type="spellStart"/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A921E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пенькоп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рерабатывающих</w:t>
            </w:r>
            <w:proofErr w:type="spellEnd"/>
            <w:r w:rsidRPr="00A921E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принадлежащих на праве собственности сельскохозяйственным товаропроизводителям, за исключением граждан, ведущих личное подсобное хозяйство, и росси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21E0">
              <w:rPr>
                <w:rFonts w:ascii="Times New Roman" w:hAnsi="Times New Roman" w:cs="Times New Roman"/>
                <w:sz w:val="24"/>
                <w:szCs w:val="24"/>
              </w:rPr>
              <w:t>ским организациям.</w:t>
            </w:r>
          </w:p>
          <w:p w:rsidR="00AF5242" w:rsidRPr="00D6240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Доля субсидии, предоставляемой из республ</w:t>
            </w: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канского бюджета Чувашской Республики пол</w:t>
            </w: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чателям субсидий на возмещение части прямых понесенных затрат за счет иных межбюджетных трансфертов из федерального бюджета, в общем размере прямых понесенных затрат составляет:</w:t>
            </w:r>
          </w:p>
          <w:p w:rsidR="00AF5242" w:rsidRPr="00D6240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а) для объектов, указанных в подпунктах "а", "г" - "з" - 20 процентов фактической стоимости объекта (но не выше предельной стоимости об</w:t>
            </w: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екта);</w:t>
            </w:r>
          </w:p>
          <w:p w:rsidR="00AF5242" w:rsidRPr="00D6240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б) для объектов, указанных в подпункте "б" - 10 процентов фактической стоимости объекта (но не выше предельной стоимости объекта);</w:t>
            </w:r>
          </w:p>
          <w:p w:rsidR="00AF5242" w:rsidRPr="00D6240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в) для объектов, указанных в подпунктах "в", "и" - 25 процентов фактической стоимости объе</w:t>
            </w: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400">
              <w:rPr>
                <w:rFonts w:ascii="Times New Roman" w:hAnsi="Times New Roman" w:cs="Times New Roman"/>
                <w:sz w:val="24"/>
                <w:szCs w:val="24"/>
              </w:rPr>
              <w:t>та (но не выше предельной стоимости объекта).</w:t>
            </w:r>
          </w:p>
          <w:p w:rsidR="00AF5242" w:rsidRPr="006A3AF0" w:rsidRDefault="00AF5242" w:rsidP="00AF5242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34E" w:rsidRPr="004905E2" w:rsidRDefault="002C434E" w:rsidP="004905E2">
      <w:pPr>
        <w:spacing w:after="0" w:line="240" w:lineRule="auto"/>
        <w:rPr>
          <w:rFonts w:ascii="Arial" w:hAnsi="Arial" w:cs="Arial"/>
        </w:rPr>
      </w:pPr>
    </w:p>
    <w:sectPr w:rsidR="002C434E" w:rsidRPr="004905E2" w:rsidSect="009C1111">
      <w:headerReference w:type="default" r:id="rId8"/>
      <w:headerReference w:type="first" r:id="rId9"/>
      <w:pgSz w:w="16834" w:h="11909" w:orient="landscape"/>
      <w:pgMar w:top="1134" w:right="1134" w:bottom="1134" w:left="1134" w:header="567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DF" w:rsidRDefault="006662DF" w:rsidP="004905E2">
      <w:pPr>
        <w:spacing w:after="0" w:line="240" w:lineRule="auto"/>
      </w:pPr>
      <w:r>
        <w:separator/>
      </w:r>
    </w:p>
  </w:endnote>
  <w:endnote w:type="continuationSeparator" w:id="0">
    <w:p w:rsidR="006662DF" w:rsidRDefault="006662DF" w:rsidP="0049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DF" w:rsidRDefault="006662DF" w:rsidP="004905E2">
      <w:pPr>
        <w:spacing w:after="0" w:line="240" w:lineRule="auto"/>
      </w:pPr>
      <w:r>
        <w:separator/>
      </w:r>
    </w:p>
  </w:footnote>
  <w:footnote w:type="continuationSeparator" w:id="0">
    <w:p w:rsidR="006662DF" w:rsidRDefault="006662DF" w:rsidP="0049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064316"/>
      <w:docPartObj>
        <w:docPartGallery w:val="Page Numbers (Top of Page)"/>
        <w:docPartUnique/>
      </w:docPartObj>
    </w:sdtPr>
    <w:sdtEndPr/>
    <w:sdtContent>
      <w:p w:rsidR="002C434E" w:rsidRDefault="002C43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C8">
          <w:rPr>
            <w:noProof/>
          </w:rPr>
          <w:t>12</w:t>
        </w:r>
        <w:r>
          <w:fldChar w:fldCharType="end"/>
        </w:r>
      </w:p>
    </w:sdtContent>
  </w:sdt>
  <w:p w:rsidR="002C434E" w:rsidRDefault="002C43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09288"/>
      <w:docPartObj>
        <w:docPartGallery w:val="Page Numbers (Top of Page)"/>
        <w:docPartUnique/>
      </w:docPartObj>
    </w:sdtPr>
    <w:sdtEndPr/>
    <w:sdtContent>
      <w:p w:rsidR="002C434E" w:rsidRDefault="002C43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11">
          <w:rPr>
            <w:noProof/>
          </w:rPr>
          <w:t>1</w:t>
        </w:r>
        <w:r>
          <w:fldChar w:fldCharType="end"/>
        </w:r>
      </w:p>
    </w:sdtContent>
  </w:sdt>
  <w:p w:rsidR="002C434E" w:rsidRDefault="002C4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257"/>
    <w:multiLevelType w:val="hybridMultilevel"/>
    <w:tmpl w:val="6E680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C55"/>
    <w:multiLevelType w:val="hybridMultilevel"/>
    <w:tmpl w:val="57E8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E2"/>
    <w:rsid w:val="00056A8F"/>
    <w:rsid w:val="000C4492"/>
    <w:rsid w:val="000F05A0"/>
    <w:rsid w:val="001157D9"/>
    <w:rsid w:val="002812F2"/>
    <w:rsid w:val="002C434E"/>
    <w:rsid w:val="002F36D8"/>
    <w:rsid w:val="002F4B7E"/>
    <w:rsid w:val="00343806"/>
    <w:rsid w:val="00390689"/>
    <w:rsid w:val="003B236D"/>
    <w:rsid w:val="003B5B84"/>
    <w:rsid w:val="003D734D"/>
    <w:rsid w:val="004905E2"/>
    <w:rsid w:val="004E5B54"/>
    <w:rsid w:val="004F4394"/>
    <w:rsid w:val="004F705E"/>
    <w:rsid w:val="005022B9"/>
    <w:rsid w:val="005105C7"/>
    <w:rsid w:val="00511142"/>
    <w:rsid w:val="00532887"/>
    <w:rsid w:val="005847F1"/>
    <w:rsid w:val="005D118C"/>
    <w:rsid w:val="00624CD9"/>
    <w:rsid w:val="00641D2F"/>
    <w:rsid w:val="006662DF"/>
    <w:rsid w:val="00684164"/>
    <w:rsid w:val="006A3AF0"/>
    <w:rsid w:val="007053F3"/>
    <w:rsid w:val="00706E4C"/>
    <w:rsid w:val="00734E7C"/>
    <w:rsid w:val="00743243"/>
    <w:rsid w:val="00803C45"/>
    <w:rsid w:val="008332C7"/>
    <w:rsid w:val="00840954"/>
    <w:rsid w:val="008475C8"/>
    <w:rsid w:val="00864D9A"/>
    <w:rsid w:val="00866D9F"/>
    <w:rsid w:val="008D58A1"/>
    <w:rsid w:val="009035ED"/>
    <w:rsid w:val="00954F2C"/>
    <w:rsid w:val="009B4F83"/>
    <w:rsid w:val="009C1111"/>
    <w:rsid w:val="009C4CF1"/>
    <w:rsid w:val="009F6CFD"/>
    <w:rsid w:val="00A62740"/>
    <w:rsid w:val="00A65040"/>
    <w:rsid w:val="00A872E1"/>
    <w:rsid w:val="00A921E0"/>
    <w:rsid w:val="00AF5242"/>
    <w:rsid w:val="00B97ECD"/>
    <w:rsid w:val="00BB679E"/>
    <w:rsid w:val="00C43051"/>
    <w:rsid w:val="00CB6398"/>
    <w:rsid w:val="00D2169B"/>
    <w:rsid w:val="00D30977"/>
    <w:rsid w:val="00D31A55"/>
    <w:rsid w:val="00D52BCE"/>
    <w:rsid w:val="00D62400"/>
    <w:rsid w:val="00D6507E"/>
    <w:rsid w:val="00DF67E3"/>
    <w:rsid w:val="00E021EE"/>
    <w:rsid w:val="00E33F13"/>
    <w:rsid w:val="00E94648"/>
    <w:rsid w:val="00F06807"/>
    <w:rsid w:val="00F52994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5E2"/>
  </w:style>
  <w:style w:type="paragraph" w:styleId="a6">
    <w:name w:val="footer"/>
    <w:basedOn w:val="a"/>
    <w:link w:val="a7"/>
    <w:uiPriority w:val="99"/>
    <w:unhideWhenUsed/>
    <w:rsid w:val="0049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5E2"/>
  </w:style>
  <w:style w:type="paragraph" w:styleId="a8">
    <w:name w:val="List Paragraph"/>
    <w:basedOn w:val="a"/>
    <w:uiPriority w:val="1"/>
    <w:qFormat/>
    <w:rsid w:val="009B4F83"/>
    <w:pPr>
      <w:widowControl w:val="0"/>
      <w:spacing w:before="1" w:after="0" w:line="240" w:lineRule="auto"/>
      <w:ind w:left="573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5E2"/>
  </w:style>
  <w:style w:type="paragraph" w:styleId="a6">
    <w:name w:val="footer"/>
    <w:basedOn w:val="a"/>
    <w:link w:val="a7"/>
    <w:uiPriority w:val="99"/>
    <w:unhideWhenUsed/>
    <w:rsid w:val="0049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5E2"/>
  </w:style>
  <w:style w:type="paragraph" w:styleId="a8">
    <w:name w:val="List Paragraph"/>
    <w:basedOn w:val="a"/>
    <w:uiPriority w:val="1"/>
    <w:qFormat/>
    <w:rsid w:val="009B4F83"/>
    <w:pPr>
      <w:widowControl w:val="0"/>
      <w:spacing w:before="1" w:after="0" w:line="240" w:lineRule="auto"/>
      <w:ind w:left="57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indust11 (Иванова А.Г.)</cp:lastModifiedBy>
  <cp:revision>3</cp:revision>
  <dcterms:created xsi:type="dcterms:W3CDTF">2019-03-21T11:22:00Z</dcterms:created>
  <dcterms:modified xsi:type="dcterms:W3CDTF">2019-03-21T11:22:00Z</dcterms:modified>
</cp:coreProperties>
</file>