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D" w:rsidRPr="00061BF5" w:rsidRDefault="009F25FD" w:rsidP="009F25FD">
      <w:pPr>
        <w:jc w:val="center"/>
      </w:pPr>
      <w:r w:rsidRPr="00061BF5">
        <w:t>СВЕДЕНИЯ</w:t>
      </w:r>
    </w:p>
    <w:p w:rsidR="009F25FD" w:rsidRPr="00061BF5" w:rsidRDefault="009F25FD" w:rsidP="009F25FD">
      <w:pPr>
        <w:jc w:val="center"/>
      </w:pPr>
      <w:r w:rsidRPr="00061BF5">
        <w:t>О ЦЕЛЕВЫХ ИНДИКАТОРАХ И ПОКАЗАТЕЛЯХ</w:t>
      </w:r>
    </w:p>
    <w:p w:rsidR="009F25FD" w:rsidRPr="00061BF5" w:rsidRDefault="009F25FD" w:rsidP="009F25FD">
      <w:pPr>
        <w:jc w:val="center"/>
      </w:pPr>
      <w:r>
        <w:t xml:space="preserve">МУНИЦИПАЛЬНОЙ </w:t>
      </w:r>
      <w:r w:rsidRPr="00061BF5">
        <w:t xml:space="preserve">ПРОГРАММЫ </w:t>
      </w:r>
      <w:r>
        <w:t>ПОРЕЦКОГО РАЙОНА ЧУВАШСКОЙ  РЕСПУБЛИКИ</w:t>
      </w:r>
      <w:proofErr w:type="gramStart"/>
      <w:r w:rsidRPr="00061BF5">
        <w:t>«Р</w:t>
      </w:r>
      <w:proofErr w:type="gramEnd"/>
      <w:r w:rsidRPr="00061BF5">
        <w:t xml:space="preserve">АЗВИТИЕ ОБРАЗОВАНИЯ»,  </w:t>
      </w:r>
    </w:p>
    <w:p w:rsidR="009F25FD" w:rsidRPr="00061BF5" w:rsidRDefault="009F25FD" w:rsidP="009F25FD">
      <w:pPr>
        <w:jc w:val="center"/>
      </w:pPr>
      <w:r w:rsidRPr="00061BF5">
        <w:t xml:space="preserve">ПОДПРОГРАММ </w:t>
      </w:r>
      <w:r>
        <w:t>МУНИЦИПАЛЬНОЙ</w:t>
      </w:r>
      <w:r w:rsidRPr="00061BF5">
        <w:t xml:space="preserve"> ПРОГРАММЫ И ИХ </w:t>
      </w:r>
      <w:proofErr w:type="gramStart"/>
      <w:r w:rsidRPr="00061BF5">
        <w:t>ЗНАЧЕНИЯХ</w:t>
      </w:r>
      <w:proofErr w:type="gramEnd"/>
    </w:p>
    <w:p w:rsidR="009F25FD" w:rsidRPr="00061BF5" w:rsidRDefault="009F25FD" w:rsidP="009F25FD">
      <w:pPr>
        <w:jc w:val="center"/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3244"/>
        <w:gridCol w:w="1422"/>
        <w:gridCol w:w="2029"/>
        <w:gridCol w:w="2693"/>
      </w:tblGrid>
      <w:tr w:rsidR="009F25FD" w:rsidRPr="00F4212D" w:rsidTr="009F25FD">
        <w:trPr>
          <w:trHeight w:val="230"/>
        </w:trPr>
        <w:tc>
          <w:tcPr>
            <w:tcW w:w="455" w:type="dxa"/>
            <w:vMerge w:val="restart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F4212D">
              <w:rPr>
                <w:sz w:val="20"/>
                <w:szCs w:val="20"/>
              </w:rPr>
              <w:t>№</w:t>
            </w:r>
            <w:proofErr w:type="spellEnd"/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proofErr w:type="spellStart"/>
            <w:r w:rsidRPr="00F4212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44" w:type="dxa"/>
            <w:vMerge w:val="restart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Единица </w:t>
            </w: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измерения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FD" w:rsidRPr="00F4212D" w:rsidRDefault="009F25FD">
            <w:pPr>
              <w:spacing w:after="200" w:line="276" w:lineRule="auto"/>
            </w:pPr>
            <w:r>
              <w:t xml:space="preserve">План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FD" w:rsidRPr="00F4212D" w:rsidRDefault="009F25FD">
            <w:pPr>
              <w:spacing w:after="200" w:line="276" w:lineRule="auto"/>
            </w:pPr>
            <w:r>
              <w:t>факт</w:t>
            </w:r>
          </w:p>
        </w:tc>
      </w:tr>
      <w:tr w:rsidR="009F25FD" w:rsidRPr="00F4212D" w:rsidTr="009F25FD">
        <w:tc>
          <w:tcPr>
            <w:tcW w:w="455" w:type="dxa"/>
            <w:vMerge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F25FD" w:rsidRPr="00F4212D" w:rsidRDefault="009F25FD" w:rsidP="009F25FD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A663B3" w:rsidRDefault="009F25FD" w:rsidP="00564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A663B3" w:rsidRDefault="00D30B8B" w:rsidP="00564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муниципальных</w:t>
            </w:r>
            <w:r w:rsidRPr="00F4212D">
              <w:rPr>
                <w:sz w:val="20"/>
                <w:szCs w:val="20"/>
              </w:rPr>
              <w:t xml:space="preserve">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Default="009F25FD" w:rsidP="00564878">
            <w:pPr>
              <w:jc w:val="center"/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Default="009F25FD" w:rsidP="00564878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D30B8B">
              <w:rPr>
                <w:sz w:val="20"/>
                <w:szCs w:val="20"/>
              </w:rPr>
              <w:t>0,0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8738A6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8738A6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087BA4">
              <w:t>Доля детей в возрасте от 5 до 18 лет, имеющих право на получение дополнительно</w:t>
            </w:r>
            <w:r>
              <w:t xml:space="preserve">го образования в рамках системы  </w:t>
            </w:r>
            <w:r w:rsidRPr="00087BA4">
              <w:t xml:space="preserve">персонифицированного </w:t>
            </w:r>
            <w:r w:rsidRPr="00087BA4">
              <w:lastRenderedPageBreak/>
              <w:t>финансирования в общей численности детей в возрасте от 5 до 18 лет.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157774" w:rsidP="009F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proofErr w:type="gramStart"/>
            <w:r w:rsidRPr="00F4212D">
              <w:rPr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100</w:t>
            </w:r>
          </w:p>
        </w:tc>
      </w:tr>
      <w:tr w:rsidR="009F25FD" w:rsidRPr="00F4212D" w:rsidTr="009F25FD">
        <w:trPr>
          <w:trHeight w:val="1971"/>
        </w:trPr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</w:t>
            </w:r>
            <w:r>
              <w:rPr>
                <w:sz w:val="20"/>
                <w:szCs w:val="20"/>
              </w:rPr>
              <w:t>муниципальных</w:t>
            </w:r>
            <w:r w:rsidRPr="00F4212D">
              <w:rPr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  <w:r w:rsidRPr="00F42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4212D">
              <w:rPr>
                <w:sz w:val="20"/>
                <w:szCs w:val="20"/>
              </w:rPr>
              <w:t xml:space="preserve"> 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proofErr w:type="gramStart"/>
            <w:r w:rsidRPr="00F4212D">
              <w:rPr>
                <w:sz w:val="20"/>
                <w:szCs w:val="20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F4212D">
              <w:rPr>
                <w:sz w:val="20"/>
                <w:szCs w:val="20"/>
              </w:rPr>
              <w:t>неродственникам</w:t>
            </w:r>
            <w:proofErr w:type="spellEnd"/>
            <w:r w:rsidRPr="00F4212D">
              <w:rPr>
                <w:sz w:val="20"/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</w:t>
            </w:r>
            <w:r w:rsidRPr="00F4212D">
              <w:rPr>
                <w:sz w:val="20"/>
                <w:szCs w:val="20"/>
              </w:rPr>
              <w:lastRenderedPageBreak/>
              <w:t>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44" w:type="dxa"/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422" w:type="dxa"/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BB6801" w:rsidRDefault="00157774" w:rsidP="00564878">
            <w:pPr>
              <w:jc w:val="center"/>
              <w:rPr>
                <w:sz w:val="20"/>
                <w:szCs w:val="20"/>
              </w:rPr>
            </w:pPr>
            <w:r w:rsidRPr="00BB6801">
              <w:rPr>
                <w:sz w:val="20"/>
                <w:szCs w:val="20"/>
              </w:rPr>
              <w:t>91,3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EA1E3E" w:rsidRDefault="00157774" w:rsidP="00015037">
            <w:pPr>
              <w:jc w:val="center"/>
              <w:rPr>
                <w:sz w:val="20"/>
                <w:szCs w:val="20"/>
              </w:rPr>
            </w:pPr>
            <w:r w:rsidRPr="00EA1E3E">
              <w:rPr>
                <w:sz w:val="20"/>
                <w:szCs w:val="20"/>
              </w:rPr>
              <w:t>90,1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157774" w:rsidRPr="00BB6801" w:rsidRDefault="00157774" w:rsidP="00564878">
            <w:pPr>
              <w:jc w:val="center"/>
            </w:pPr>
            <w:r w:rsidRPr="00BB6801">
              <w:rPr>
                <w:sz w:val="20"/>
                <w:szCs w:val="20"/>
              </w:rPr>
              <w:t>98,4</w:t>
            </w:r>
          </w:p>
        </w:tc>
        <w:tc>
          <w:tcPr>
            <w:tcW w:w="2693" w:type="dxa"/>
          </w:tcPr>
          <w:p w:rsidR="00157774" w:rsidRPr="00EA1E3E" w:rsidRDefault="00157774" w:rsidP="00015037">
            <w:pPr>
              <w:jc w:val="center"/>
            </w:pPr>
            <w:r w:rsidRPr="00EA1E3E">
              <w:t>92,6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7.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157774" w:rsidRPr="00BB6801" w:rsidRDefault="00157774" w:rsidP="00564878">
            <w:pPr>
              <w:jc w:val="center"/>
            </w:pPr>
            <w:r w:rsidRPr="00BB6801">
              <w:rPr>
                <w:sz w:val="20"/>
                <w:szCs w:val="20"/>
              </w:rPr>
              <w:t>95,3</w:t>
            </w:r>
          </w:p>
        </w:tc>
        <w:tc>
          <w:tcPr>
            <w:tcW w:w="2693" w:type="dxa"/>
          </w:tcPr>
          <w:p w:rsidR="00157774" w:rsidRPr="00EA1E3E" w:rsidRDefault="00157774" w:rsidP="00015037">
            <w:pPr>
              <w:jc w:val="center"/>
            </w:pPr>
            <w:r w:rsidRPr="00EA1E3E">
              <w:t>100,7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100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100 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</w:t>
            </w:r>
            <w:r w:rsidRPr="00F4212D">
              <w:rPr>
                <w:sz w:val="20"/>
                <w:szCs w:val="20"/>
              </w:rPr>
              <w:lastRenderedPageBreak/>
              <w:t>(полном) общем образовании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  <w:r w:rsidRPr="00F42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9F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2693" w:type="dxa"/>
          </w:tcPr>
          <w:p w:rsidR="009F25FD" w:rsidRPr="00F4212D" w:rsidRDefault="009F25FD" w:rsidP="00D3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30B8B">
              <w:rPr>
                <w:sz w:val="20"/>
                <w:szCs w:val="20"/>
              </w:rPr>
              <w:t>48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212D">
              <w:rPr>
                <w:sz w:val="20"/>
                <w:szCs w:val="20"/>
              </w:rPr>
              <w:t>2.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учителей, освоивших методику преподавания по </w:t>
            </w:r>
            <w:proofErr w:type="spellStart"/>
            <w:r w:rsidRPr="00F4212D">
              <w:rPr>
                <w:sz w:val="20"/>
                <w:szCs w:val="20"/>
              </w:rPr>
              <w:t>межпредметным</w:t>
            </w:r>
            <w:proofErr w:type="spellEnd"/>
            <w:r w:rsidRPr="00F4212D">
              <w:rPr>
                <w:sz w:val="20"/>
                <w:szCs w:val="20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F42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D30B8B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в </w:t>
            </w:r>
            <w:r w:rsidRPr="00F4212D">
              <w:rPr>
                <w:sz w:val="20"/>
                <w:szCs w:val="20"/>
              </w:rPr>
              <w:lastRenderedPageBreak/>
              <w:t>общей численности учителей общеобразовательных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EE3C8B" w:rsidRDefault="009F25FD" w:rsidP="005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EE3C8B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244" w:type="dxa"/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422" w:type="dxa"/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029" w:type="dxa"/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57774" w:rsidRPr="00157774" w:rsidRDefault="00157774" w:rsidP="00015037">
            <w:pPr>
              <w:jc w:val="center"/>
              <w:rPr>
                <w:sz w:val="20"/>
                <w:szCs w:val="20"/>
              </w:rPr>
            </w:pPr>
            <w:r w:rsidRPr="00157774">
              <w:rPr>
                <w:sz w:val="20"/>
                <w:szCs w:val="20"/>
              </w:rPr>
              <w:t>2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157774" w:rsidRPr="00157774" w:rsidRDefault="00157774" w:rsidP="00015037">
            <w:pPr>
              <w:jc w:val="center"/>
              <w:rPr>
                <w:sz w:val="20"/>
                <w:szCs w:val="20"/>
              </w:rPr>
            </w:pPr>
            <w:r w:rsidRPr="00157774">
              <w:rPr>
                <w:sz w:val="20"/>
                <w:szCs w:val="20"/>
              </w:rPr>
              <w:t>11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добровольческих (волонтерских) объединений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029" w:type="dxa"/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57774" w:rsidRPr="00157774" w:rsidRDefault="00157774" w:rsidP="00015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157774" w:rsidRPr="00157774" w:rsidRDefault="00157774" w:rsidP="00015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F4212D">
              <w:rPr>
                <w:sz w:val="20"/>
                <w:szCs w:val="20"/>
              </w:rPr>
              <w:t>численности</w:t>
            </w:r>
            <w:proofErr w:type="gramEnd"/>
            <w:r w:rsidRPr="00F4212D">
              <w:rPr>
                <w:sz w:val="20"/>
                <w:szCs w:val="20"/>
              </w:rPr>
              <w:t xml:space="preserve"> обучающихся в общеобразовательных организациях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9F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642C08">
              <w:rPr>
                <w:sz w:val="20"/>
                <w:szCs w:val="20"/>
              </w:rPr>
              <w:t>18,</w:t>
            </w:r>
            <w:r w:rsidR="00157774">
              <w:rPr>
                <w:sz w:val="20"/>
                <w:szCs w:val="20"/>
              </w:rPr>
              <w:t>8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Количество проведенных научно-практических конференций, </w:t>
            </w:r>
            <w:r w:rsidRPr="00F4212D">
              <w:rPr>
                <w:sz w:val="20"/>
                <w:szCs w:val="20"/>
              </w:rPr>
              <w:lastRenderedPageBreak/>
              <w:t>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25FD" w:rsidRPr="00F4212D" w:rsidTr="00237BAC">
        <w:trPr>
          <w:trHeight w:val="887"/>
        </w:trPr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237BAC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человек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237BAC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237BAC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детей и молодежи, принявших участие в мероприятиях республиканского,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237BAC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37BA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237BAC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9F25FD" w:rsidRPr="00F4212D" w:rsidTr="009F25FD">
        <w:trPr>
          <w:gridAfter w:val="4"/>
          <w:wAfter w:w="9388" w:type="dxa"/>
        </w:trPr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Удельный вес призывной </w:t>
            </w:r>
            <w:r w:rsidRPr="00F4212D">
              <w:rPr>
                <w:sz w:val="20"/>
                <w:szCs w:val="20"/>
              </w:rPr>
              <w:lastRenderedPageBreak/>
              <w:t>молодежи, охваченной допризывной подготовкой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FD" w:rsidRPr="007D47CA" w:rsidRDefault="009F25FD" w:rsidP="005648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FD" w:rsidRPr="007D47CA" w:rsidRDefault="009F25FD" w:rsidP="005648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237BAC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70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человек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3118BE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</w:tbl>
    <w:p w:rsidR="00FD5FA7" w:rsidRDefault="00FD5FA7"/>
    <w:sectPr w:rsidR="00FD5FA7" w:rsidSect="009F2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F25FD"/>
    <w:rsid w:val="000C5D75"/>
    <w:rsid w:val="00157774"/>
    <w:rsid w:val="00237BAC"/>
    <w:rsid w:val="003118BE"/>
    <w:rsid w:val="00642C08"/>
    <w:rsid w:val="00820C73"/>
    <w:rsid w:val="009F25FD"/>
    <w:rsid w:val="00BB6801"/>
    <w:rsid w:val="00D30B8B"/>
    <w:rsid w:val="00DA71B9"/>
    <w:rsid w:val="00EF54EA"/>
    <w:rsid w:val="00FD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25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F25FD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F25FD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porezk_obrazov1</dc:creator>
  <cp:keywords/>
  <dc:description/>
  <cp:lastModifiedBy>porezk_obrazov1</cp:lastModifiedBy>
  <cp:revision>6</cp:revision>
  <dcterms:created xsi:type="dcterms:W3CDTF">2020-03-25T14:07:00Z</dcterms:created>
  <dcterms:modified xsi:type="dcterms:W3CDTF">2020-04-01T12:46:00Z</dcterms:modified>
</cp:coreProperties>
</file>