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11" w:rsidRDefault="006C041F" w:rsidP="00094EC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ДОКЛАД</w:t>
      </w:r>
    </w:p>
    <w:p w:rsidR="003B7811" w:rsidRDefault="006C041F" w:rsidP="00094EC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министра физической культуры и спорта Чувашской Республики В.В. Петрова </w:t>
      </w:r>
      <w:r w:rsidR="003B7811">
        <w:rPr>
          <w:rFonts w:ascii="Arial" w:hAnsi="Arial" w:cs="Arial"/>
          <w:b/>
          <w:sz w:val="24"/>
          <w:szCs w:val="24"/>
        </w:rPr>
        <w:t>на еженедельно</w:t>
      </w:r>
      <w:r>
        <w:rPr>
          <w:rFonts w:ascii="Arial" w:hAnsi="Arial" w:cs="Arial"/>
          <w:b/>
          <w:sz w:val="24"/>
          <w:szCs w:val="24"/>
        </w:rPr>
        <w:t xml:space="preserve">м совещании </w:t>
      </w:r>
      <w:r w:rsidR="003B7811">
        <w:rPr>
          <w:rFonts w:ascii="Arial" w:hAnsi="Arial" w:cs="Arial"/>
          <w:b/>
          <w:sz w:val="24"/>
          <w:szCs w:val="24"/>
        </w:rPr>
        <w:t xml:space="preserve">по вопросу </w:t>
      </w:r>
    </w:p>
    <w:p w:rsidR="00C27C1F" w:rsidRDefault="003B7811" w:rsidP="00094EC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 ходе строительства объектов спорта в рамках реализации Республиканской адресной инвестиционной программы на 2020 год, а также укреплении материально-технической базы муниципальных спортивных учреждений»</w:t>
      </w:r>
    </w:p>
    <w:p w:rsidR="006C041F" w:rsidRDefault="006C041F" w:rsidP="00094EC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505"/>
      </w:tblGrid>
      <w:tr w:rsidR="00AD7B02" w:rsidTr="00C17E17">
        <w:tc>
          <w:tcPr>
            <w:tcW w:w="5982" w:type="dxa"/>
          </w:tcPr>
          <w:p w:rsidR="006C041F" w:rsidRDefault="006C041F" w:rsidP="00094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1F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 wp14:anchorId="67A7313A" wp14:editId="1443F17F">
                  <wp:extent cx="3191933" cy="1795441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940" cy="181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E17" w:rsidRDefault="00C17E17" w:rsidP="00094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6C041F" w:rsidRPr="006C041F" w:rsidRDefault="006C041F" w:rsidP="006C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1. </w:t>
            </w:r>
            <w:r>
              <w:rPr>
                <w:rFonts w:ascii="Arial" w:hAnsi="Arial" w:cs="Arial"/>
                <w:sz w:val="24"/>
                <w:szCs w:val="24"/>
              </w:rPr>
              <w:t>Доброе утро, уважаемые Олег Алексеевич, участники заседания.</w:t>
            </w:r>
          </w:p>
        </w:tc>
      </w:tr>
      <w:tr w:rsidR="00AD7B02" w:rsidTr="00C17E17">
        <w:tc>
          <w:tcPr>
            <w:tcW w:w="5982" w:type="dxa"/>
          </w:tcPr>
          <w:p w:rsidR="006C041F" w:rsidRPr="006C041F" w:rsidRDefault="006C041F" w:rsidP="00094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1F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 wp14:anchorId="012AB20E" wp14:editId="7C87768A">
                  <wp:extent cx="3619500" cy="20359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376" cy="204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6C041F" w:rsidRDefault="006C041F" w:rsidP="006C04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Анализ финансирования расходов капитального характера за последние 3 года на спортивную отрасль показывает, что при ежегодно увеличивающихся объемах финансирования, физическая культура и спорт занимает среди трех социальных отраслей последнее место, </w:t>
            </w:r>
          </w:p>
        </w:tc>
      </w:tr>
      <w:tr w:rsidR="006C041F" w:rsidTr="00C17E17">
        <w:tc>
          <w:tcPr>
            <w:tcW w:w="9487" w:type="dxa"/>
            <w:gridSpan w:val="2"/>
          </w:tcPr>
          <w:p w:rsidR="006C041F" w:rsidRPr="006C041F" w:rsidRDefault="006C041F" w:rsidP="006C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6C041F">
              <w:rPr>
                <w:rFonts w:ascii="Arial" w:hAnsi="Arial" w:cs="Arial"/>
                <w:sz w:val="24"/>
                <w:szCs w:val="24"/>
              </w:rPr>
              <w:t xml:space="preserve"> при этом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фактическое исполнение практически всегда ниже запланированных объемов.</w:t>
            </w:r>
          </w:p>
        </w:tc>
      </w:tr>
      <w:tr w:rsidR="00AD7B02" w:rsidTr="00C17E17">
        <w:tc>
          <w:tcPr>
            <w:tcW w:w="5982" w:type="dxa"/>
          </w:tcPr>
          <w:p w:rsidR="006C041F" w:rsidRDefault="001D6B4C" w:rsidP="006C0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B4C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00F31C52" wp14:editId="024BD020">
                  <wp:extent cx="3635065" cy="20447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767" cy="205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6C041F" w:rsidRDefault="001D6B4C" w:rsidP="001D6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 этом субсидии на укрепление материально-технической базы муниципальных спортивных учреждений распределяются без какого-либо конкурсного отбора. Отсутствуют критерии, увязанные с показателями федерального проекта «Спорт – норма жизни», в зависимости от </w:t>
            </w:r>
          </w:p>
        </w:tc>
      </w:tr>
      <w:tr w:rsidR="001D6B4C" w:rsidTr="00C17E17">
        <w:tc>
          <w:tcPr>
            <w:tcW w:w="9487" w:type="dxa"/>
            <w:gridSpan w:val="2"/>
          </w:tcPr>
          <w:p w:rsidR="001D6B4C" w:rsidRDefault="001D6B4C" w:rsidP="002A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которых проходило бы распределение финансирования.</w:t>
            </w:r>
          </w:p>
        </w:tc>
      </w:tr>
      <w:tr w:rsidR="00AD7B02" w:rsidTr="00C17E17">
        <w:tc>
          <w:tcPr>
            <w:tcW w:w="5982" w:type="dxa"/>
          </w:tcPr>
          <w:p w:rsidR="006C041F" w:rsidRDefault="001D6B4C" w:rsidP="006C0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B4C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 wp14:anchorId="23AC5E62" wp14:editId="6CCEACD3">
                  <wp:extent cx="3390900" cy="19073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884" cy="192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1D6B4C" w:rsidRDefault="001D6B4C" w:rsidP="001D6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Единственный критерий, по которым происходило распределение субсидий, это тот размер средств, которые заявляют сами муниципалитеты.</w:t>
            </w:r>
          </w:p>
          <w:p w:rsidR="006C041F" w:rsidRDefault="001D6B4C" w:rsidP="001D6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этом, на наш взгляд основная причина того, что фактическое использование субсидий ежегодно меньше выделяемых средств </w:t>
            </w:r>
          </w:p>
        </w:tc>
      </w:tr>
      <w:tr w:rsidR="001D6B4C" w:rsidTr="00C17E17">
        <w:tc>
          <w:tcPr>
            <w:tcW w:w="9487" w:type="dxa"/>
            <w:gridSpan w:val="2"/>
          </w:tcPr>
          <w:p w:rsidR="001D6B4C" w:rsidRDefault="001D6B4C" w:rsidP="001D6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республиканского бюджета Чувашской Республики. Когда ты уверен, что тебе всегда дадут ровно столько, сколько ты попросишь, независимо от качества работы за предыдущий период, возникает и соответствующее отношение к конечному результату. </w:t>
            </w:r>
          </w:p>
        </w:tc>
      </w:tr>
      <w:tr w:rsidR="00AD7B02" w:rsidTr="00C17E17">
        <w:tc>
          <w:tcPr>
            <w:tcW w:w="5982" w:type="dxa"/>
          </w:tcPr>
          <w:p w:rsidR="001D6B4C" w:rsidRDefault="00F3731B" w:rsidP="006C0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31B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3A22E335" wp14:editId="6DD9D56C">
                  <wp:extent cx="3344333" cy="1881165"/>
                  <wp:effectExtent l="0" t="0" r="889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625" cy="189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1D6B4C" w:rsidRDefault="00A64978" w:rsidP="00F3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Безусловно, в этом году мы все работаем в непростых условиях. </w:t>
            </w:r>
            <w:r w:rsidR="00F3731B">
              <w:rPr>
                <w:rFonts w:ascii="Arial" w:hAnsi="Arial" w:cs="Arial"/>
                <w:sz w:val="24"/>
                <w:szCs w:val="24"/>
              </w:rPr>
              <w:t>Поэтому е</w:t>
            </w:r>
            <w:r>
              <w:rPr>
                <w:rFonts w:ascii="Arial" w:hAnsi="Arial" w:cs="Arial"/>
                <w:sz w:val="24"/>
                <w:szCs w:val="24"/>
              </w:rPr>
              <w:t xml:space="preserve">ще больше вызывает удивление отношение практически всех муниципалитетов к исполнению республиканской адресной  </w:t>
            </w:r>
            <w:r w:rsidR="00F3731B">
              <w:rPr>
                <w:rFonts w:ascii="Arial" w:hAnsi="Arial" w:cs="Arial"/>
                <w:sz w:val="24"/>
                <w:szCs w:val="24"/>
              </w:rPr>
              <w:t>инвестиционной программы.</w:t>
            </w:r>
          </w:p>
        </w:tc>
      </w:tr>
      <w:tr w:rsidR="00A64978" w:rsidTr="00C17E17">
        <w:tc>
          <w:tcPr>
            <w:tcW w:w="9487" w:type="dxa"/>
            <w:gridSpan w:val="2"/>
          </w:tcPr>
          <w:p w:rsidR="00A64978" w:rsidRPr="00F3731B" w:rsidRDefault="00A64978" w:rsidP="002A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марте текущего года мы столкнулись с тем, что из 1</w:t>
            </w:r>
            <w:r w:rsidR="00F3731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объектов, включенных в РАИП 2020 года, у </w:t>
            </w:r>
            <w:r w:rsidR="00F3731B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объектов отсутствовало положительное заключение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(реконструкция футбольного поля БУ «СШ по футболу», реконструкция </w:t>
            </w:r>
            <w:r w:rsidR="00F3731B">
              <w:rPr>
                <w:rFonts w:ascii="Arial" w:hAnsi="Arial" w:cs="Arial"/>
                <w:i/>
                <w:sz w:val="24"/>
                <w:szCs w:val="24"/>
              </w:rPr>
              <w:t xml:space="preserve">СШОР № 3, строительство футбольных полей в Козловском, Комсомольском, Красноармейском, </w:t>
            </w:r>
            <w:proofErr w:type="spellStart"/>
            <w:r w:rsidR="00F3731B">
              <w:rPr>
                <w:rFonts w:ascii="Arial" w:hAnsi="Arial" w:cs="Arial"/>
                <w:i/>
                <w:sz w:val="24"/>
                <w:szCs w:val="24"/>
              </w:rPr>
              <w:t>Красночетайском</w:t>
            </w:r>
            <w:proofErr w:type="spellEnd"/>
            <w:r w:rsidR="00F3731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F3731B">
              <w:rPr>
                <w:rFonts w:ascii="Arial" w:hAnsi="Arial" w:cs="Arial"/>
                <w:i/>
                <w:sz w:val="24"/>
                <w:szCs w:val="24"/>
              </w:rPr>
              <w:t>Моргаушском</w:t>
            </w:r>
            <w:proofErr w:type="spellEnd"/>
            <w:r w:rsidR="00F3731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F3731B">
              <w:rPr>
                <w:rFonts w:ascii="Arial" w:hAnsi="Arial" w:cs="Arial"/>
                <w:i/>
                <w:sz w:val="24"/>
                <w:szCs w:val="24"/>
              </w:rPr>
              <w:t>Урмарском</w:t>
            </w:r>
            <w:proofErr w:type="spellEnd"/>
            <w:r w:rsidR="00F3731B">
              <w:rPr>
                <w:rFonts w:ascii="Arial" w:hAnsi="Arial" w:cs="Arial"/>
                <w:i/>
                <w:sz w:val="24"/>
                <w:szCs w:val="24"/>
              </w:rPr>
              <w:t xml:space="preserve">, Чебоксарском районах, строительство стадиона в г. Мариинский Посад, реконструкция стадиона «Энергия» г. Чебоксары). </w:t>
            </w:r>
            <w:r w:rsidR="00F3731B">
              <w:rPr>
                <w:rFonts w:ascii="Arial" w:hAnsi="Arial" w:cs="Arial"/>
                <w:sz w:val="24"/>
                <w:szCs w:val="24"/>
              </w:rPr>
              <w:t>При таком подходе, при отсутствии даже во 2 квартале заключенных контрактов на строительные работы, объективно, что практически все финансирование в ус</w:t>
            </w:r>
            <w:r w:rsidR="002A3183">
              <w:rPr>
                <w:rFonts w:ascii="Arial" w:hAnsi="Arial" w:cs="Arial"/>
                <w:sz w:val="24"/>
                <w:szCs w:val="24"/>
              </w:rPr>
              <w:t>ловиях пандемии</w:t>
            </w:r>
            <w:r w:rsidR="00F3731B">
              <w:rPr>
                <w:rFonts w:ascii="Arial" w:hAnsi="Arial" w:cs="Arial"/>
                <w:sz w:val="24"/>
                <w:szCs w:val="24"/>
              </w:rPr>
              <w:t xml:space="preserve"> было заблокировано. В результате 4 объекта по заявкам муниципалитетов вообще исключены из РАИП</w:t>
            </w:r>
            <w:r w:rsidR="0037737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373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37A">
              <w:rPr>
                <w:rFonts w:ascii="Arial" w:hAnsi="Arial" w:cs="Arial"/>
                <w:sz w:val="24"/>
                <w:szCs w:val="24"/>
              </w:rPr>
              <w:t xml:space="preserve">Это </w:t>
            </w:r>
            <w:r w:rsidR="0037737A" w:rsidRPr="0037737A">
              <w:rPr>
                <w:rFonts w:ascii="Arial" w:hAnsi="Arial" w:cs="Arial"/>
                <w:sz w:val="24"/>
                <w:szCs w:val="24"/>
              </w:rPr>
              <w:t xml:space="preserve">строительство футбольных полей в Комсомольском, </w:t>
            </w:r>
            <w:proofErr w:type="spellStart"/>
            <w:r w:rsidR="0037737A" w:rsidRPr="0037737A">
              <w:rPr>
                <w:rFonts w:ascii="Arial" w:hAnsi="Arial" w:cs="Arial"/>
                <w:sz w:val="24"/>
                <w:szCs w:val="24"/>
              </w:rPr>
              <w:t>Моргаушском</w:t>
            </w:r>
            <w:proofErr w:type="spellEnd"/>
            <w:r w:rsidR="0037737A" w:rsidRPr="00377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37A" w:rsidRPr="0037737A">
              <w:rPr>
                <w:rFonts w:ascii="Arial" w:hAnsi="Arial" w:cs="Arial"/>
                <w:sz w:val="24"/>
                <w:szCs w:val="24"/>
              </w:rPr>
              <w:t>районах, строительство стадиона в г. Мариинский Посад, реконструкция стадиона «Энергия» г. Чебоксары</w:t>
            </w:r>
            <w:r w:rsidR="0037737A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F3731B">
              <w:rPr>
                <w:rFonts w:ascii="Arial" w:hAnsi="Arial" w:cs="Arial"/>
                <w:sz w:val="24"/>
                <w:szCs w:val="24"/>
              </w:rPr>
              <w:t xml:space="preserve"> еще 6 </w:t>
            </w:r>
            <w:r w:rsidR="0037737A">
              <w:rPr>
                <w:rFonts w:ascii="Arial" w:hAnsi="Arial" w:cs="Arial"/>
                <w:sz w:val="24"/>
                <w:szCs w:val="24"/>
              </w:rPr>
              <w:t>объектов, по нашим прогнозам</w:t>
            </w:r>
            <w:r w:rsidR="00F3731B">
              <w:rPr>
                <w:rFonts w:ascii="Arial" w:hAnsi="Arial" w:cs="Arial"/>
                <w:sz w:val="24"/>
                <w:szCs w:val="24"/>
              </w:rPr>
              <w:t xml:space="preserve">, будут введены в эксплуатацию только в следующем году, из них только один </w:t>
            </w:r>
            <w:proofErr w:type="spellStart"/>
            <w:r w:rsidR="00F3731B">
              <w:rPr>
                <w:rFonts w:ascii="Arial" w:hAnsi="Arial" w:cs="Arial"/>
                <w:sz w:val="24"/>
                <w:szCs w:val="24"/>
              </w:rPr>
              <w:t>планово</w:t>
            </w:r>
            <w:proofErr w:type="spellEnd"/>
            <w:r w:rsidR="00F373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37A">
              <w:rPr>
                <w:rFonts w:ascii="Arial" w:hAnsi="Arial" w:cs="Arial"/>
                <w:sz w:val="24"/>
                <w:szCs w:val="24"/>
              </w:rPr>
              <w:t>(</w:t>
            </w:r>
            <w:r w:rsidR="00F3731B">
              <w:rPr>
                <w:rFonts w:ascii="Arial" w:hAnsi="Arial" w:cs="Arial"/>
                <w:sz w:val="24"/>
                <w:szCs w:val="24"/>
              </w:rPr>
              <w:t>СШОР № 3</w:t>
            </w:r>
            <w:r w:rsidR="0037737A">
              <w:rPr>
                <w:rFonts w:ascii="Arial" w:hAnsi="Arial" w:cs="Arial"/>
                <w:sz w:val="24"/>
                <w:szCs w:val="24"/>
              </w:rPr>
              <w:t>)</w:t>
            </w:r>
            <w:r w:rsidR="00F373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7B02" w:rsidTr="00C17E17">
        <w:tc>
          <w:tcPr>
            <w:tcW w:w="5982" w:type="dxa"/>
          </w:tcPr>
          <w:p w:rsidR="00A64978" w:rsidRDefault="0037737A" w:rsidP="006C0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37A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 wp14:anchorId="6F34B601" wp14:editId="35EF01DA">
                  <wp:extent cx="3661833" cy="20597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154" cy="20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A64978" w:rsidRDefault="0037737A" w:rsidP="00AD7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Аналогичная картина складывается и в работе по капитальному ремонту муниципальных спортивных учреждений. Здесь вся работа муниципалитетов происходит при практически ежедневном контроле со стороны министерства. При этом редко кто из глав администраций  </w:t>
            </w:r>
          </w:p>
        </w:tc>
      </w:tr>
      <w:tr w:rsidR="0037737A" w:rsidTr="00C17E17">
        <w:tc>
          <w:tcPr>
            <w:tcW w:w="9487" w:type="dxa"/>
            <w:gridSpan w:val="2"/>
          </w:tcPr>
          <w:p w:rsidR="0037737A" w:rsidRPr="0037737A" w:rsidRDefault="00AD7B02" w:rsidP="002A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муниципалитетов принимает участие на еженедельно проводимых в режиме ВКС </w:t>
            </w:r>
            <w:r w:rsidR="0037737A" w:rsidRPr="0037737A">
              <w:rPr>
                <w:rFonts w:ascii="Arial" w:hAnsi="Arial" w:cs="Arial"/>
                <w:sz w:val="24"/>
                <w:szCs w:val="24"/>
              </w:rPr>
              <w:t>Минспортом</w:t>
            </w:r>
            <w:r w:rsidR="0037737A">
              <w:rPr>
                <w:rFonts w:ascii="Arial" w:hAnsi="Arial" w:cs="Arial"/>
                <w:sz w:val="24"/>
                <w:szCs w:val="24"/>
              </w:rPr>
              <w:t xml:space="preserve"> совещаниях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вопросу строительства и капитального ремонта</w:t>
            </w:r>
            <w:r w:rsidR="0037737A">
              <w:rPr>
                <w:rFonts w:ascii="Arial" w:hAnsi="Arial" w:cs="Arial"/>
                <w:sz w:val="24"/>
                <w:szCs w:val="24"/>
              </w:rPr>
              <w:t>. В лучшем случае, это заместители</w:t>
            </w:r>
            <w:r w:rsidR="002A3183">
              <w:rPr>
                <w:rFonts w:ascii="Arial" w:hAnsi="Arial" w:cs="Arial"/>
                <w:sz w:val="24"/>
                <w:szCs w:val="24"/>
              </w:rPr>
              <w:t xml:space="preserve"> глав</w:t>
            </w:r>
            <w:r w:rsidR="0037737A">
              <w:rPr>
                <w:rFonts w:ascii="Arial" w:hAnsi="Arial" w:cs="Arial"/>
                <w:sz w:val="24"/>
                <w:szCs w:val="24"/>
              </w:rPr>
              <w:t xml:space="preserve">, а в основном специалисты и руководители местных ФСК. При таком отношении руководства неудивительно, что </w:t>
            </w:r>
            <w:r w:rsidR="002A3183">
              <w:rPr>
                <w:rFonts w:ascii="Arial" w:hAnsi="Arial" w:cs="Arial"/>
                <w:sz w:val="24"/>
                <w:szCs w:val="24"/>
              </w:rPr>
              <w:t>муниципалитеты практически еженедельно меняю</w:t>
            </w:r>
            <w:r w:rsidR="0037737A">
              <w:rPr>
                <w:rFonts w:ascii="Arial" w:hAnsi="Arial" w:cs="Arial"/>
                <w:sz w:val="24"/>
                <w:szCs w:val="24"/>
              </w:rPr>
              <w:t>т прогнозн</w:t>
            </w:r>
            <w:r w:rsidR="002A3183">
              <w:rPr>
                <w:rFonts w:ascii="Arial" w:hAnsi="Arial" w:cs="Arial"/>
                <w:sz w:val="24"/>
                <w:szCs w:val="24"/>
              </w:rPr>
              <w:t>ые объемы освоения</w:t>
            </w:r>
            <w:r w:rsidR="0037737A">
              <w:rPr>
                <w:rFonts w:ascii="Arial" w:hAnsi="Arial" w:cs="Arial"/>
                <w:sz w:val="24"/>
                <w:szCs w:val="24"/>
              </w:rPr>
              <w:t xml:space="preserve">. На сегодняшний день сложилась картина, что при недавно прошедшем уточнении республиканского бюджета,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текущую дату </w:t>
            </w:r>
            <w:r w:rsidR="0037737A">
              <w:rPr>
                <w:rFonts w:ascii="Arial" w:hAnsi="Arial" w:cs="Arial"/>
                <w:sz w:val="24"/>
                <w:szCs w:val="24"/>
              </w:rPr>
              <w:t xml:space="preserve">муниципалитетами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дополнительно представлена информация, что еще 35 миллионов, выделенных на капитальный ремонт, ими использовано не будет. Хуже всех картина складывается в Комсомольском районе, муниципалитет планирует использовать 30% от выделенного объема субсидий 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районе – 43%. В следующем году мы предлагаем, Олег Алексеевич, по итогам исполнения бюджета за 9 месяцев, автоматически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секвестировать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субсидии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незаконтрактованные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муниципалитетами суммы.</w:t>
            </w:r>
          </w:p>
        </w:tc>
      </w:tr>
      <w:tr w:rsidR="00AD7B02" w:rsidTr="00C17E17">
        <w:tc>
          <w:tcPr>
            <w:tcW w:w="5982" w:type="dxa"/>
          </w:tcPr>
          <w:p w:rsidR="0037737A" w:rsidRPr="0037737A" w:rsidRDefault="00AD7B02" w:rsidP="006C0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B02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54850C59" wp14:editId="35B3E167">
                  <wp:extent cx="3496733" cy="1966889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30" cy="197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37737A" w:rsidRDefault="00AD7B02" w:rsidP="003773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7B02">
              <w:rPr>
                <w:rFonts w:ascii="Arial" w:hAnsi="Arial" w:cs="Arial"/>
                <w:sz w:val="24"/>
                <w:szCs w:val="24"/>
              </w:rPr>
              <w:t>В декабре текущего года Минспортом Чувашии будет проведена работа по отбору</w:t>
            </w:r>
            <w:r>
              <w:rPr>
                <w:rFonts w:ascii="Arial" w:hAnsi="Arial" w:cs="Arial"/>
                <w:sz w:val="24"/>
                <w:szCs w:val="24"/>
              </w:rPr>
              <w:t xml:space="preserve"> заявок муниципалитетов на строительство и ремонт спортивных объектов. </w:t>
            </w:r>
            <w:r w:rsidR="002A3183">
              <w:rPr>
                <w:rFonts w:ascii="Arial" w:hAnsi="Arial" w:cs="Arial"/>
                <w:sz w:val="24"/>
                <w:szCs w:val="24"/>
              </w:rPr>
              <w:t xml:space="preserve">Это как раз станет основой для Единого регионального графика ремонта и строительства спортивных объектов, предусмотренных Стратегией развития спортивной отрасли до 2025 года. </w:t>
            </w:r>
            <w:r>
              <w:rPr>
                <w:rFonts w:ascii="Arial" w:hAnsi="Arial" w:cs="Arial"/>
                <w:sz w:val="24"/>
                <w:szCs w:val="24"/>
              </w:rPr>
              <w:t>В качестве критериев отбора мы предлагаем установить те, что приведены на текущем слайде</w:t>
            </w:r>
            <w:r w:rsidR="002A318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7B02" w:rsidTr="00C17E17">
        <w:tc>
          <w:tcPr>
            <w:tcW w:w="9487" w:type="dxa"/>
            <w:gridSpan w:val="2"/>
          </w:tcPr>
          <w:p w:rsidR="00AD7B02" w:rsidRDefault="00AD7B02" w:rsidP="003773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183" w:rsidRDefault="002A3183" w:rsidP="002A3183">
            <w:pPr>
              <w:ind w:firstLine="7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муниципальные значения показателей федерального проекта «Спорт – норма жизни»;</w:t>
            </w:r>
          </w:p>
          <w:p w:rsidR="002A3183" w:rsidRDefault="002A3183" w:rsidP="002A3183">
            <w:pPr>
              <w:ind w:firstLine="7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эффективное использование бюджетных средств за предыдущий финансовый год;</w:t>
            </w:r>
          </w:p>
          <w:p w:rsidR="002A3183" w:rsidRDefault="002A3183" w:rsidP="002A3183">
            <w:pPr>
              <w:ind w:firstLine="7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приоритетное финансирование объектов, включенных в КПСЭР.</w:t>
            </w:r>
          </w:p>
          <w:p w:rsidR="00AD7B02" w:rsidRDefault="00AD7B02" w:rsidP="002A3183">
            <w:pPr>
              <w:ind w:firstLine="744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Уверен, что </w:t>
            </w:r>
            <w:r w:rsidR="00C17E17">
              <w:rPr>
                <w:rFonts w:ascii="Arial" w:hAnsi="Arial" w:cs="Arial"/>
                <w:sz w:val="24"/>
                <w:szCs w:val="24"/>
              </w:rPr>
              <w:t>увязывание объемов финансирования с показателями качества работы муниципалитетов, как текущей, так и в части стратегического планирования, дадут положительный результат.</w:t>
            </w:r>
          </w:p>
          <w:p w:rsidR="00C17E17" w:rsidRDefault="00C17E17" w:rsidP="00C17E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E17" w:rsidRPr="00AD7B02" w:rsidRDefault="00C17E17" w:rsidP="00C17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41F" w:rsidRDefault="006C041F" w:rsidP="00094EC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221D58" w:rsidRPr="00862454" w:rsidRDefault="00221D58" w:rsidP="00221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</w:p>
    <w:sectPr w:rsidR="00221D58" w:rsidRPr="00862454" w:rsidSect="003B7811">
      <w:headerReference w:type="default" r:id="rId14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E5" w:rsidRDefault="00C028E5" w:rsidP="003B7811">
      <w:pPr>
        <w:spacing w:after="0" w:line="240" w:lineRule="auto"/>
      </w:pPr>
      <w:r>
        <w:separator/>
      </w:r>
    </w:p>
  </w:endnote>
  <w:endnote w:type="continuationSeparator" w:id="0">
    <w:p w:rsidR="00C028E5" w:rsidRDefault="00C028E5" w:rsidP="003B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E5" w:rsidRDefault="00C028E5" w:rsidP="003B7811">
      <w:pPr>
        <w:spacing w:after="0" w:line="240" w:lineRule="auto"/>
      </w:pPr>
      <w:r>
        <w:separator/>
      </w:r>
    </w:p>
  </w:footnote>
  <w:footnote w:type="continuationSeparator" w:id="0">
    <w:p w:rsidR="00C028E5" w:rsidRDefault="00C028E5" w:rsidP="003B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540048371"/>
      <w:docPartObj>
        <w:docPartGallery w:val="Page Numbers (Top of Page)"/>
        <w:docPartUnique/>
      </w:docPartObj>
    </w:sdtPr>
    <w:sdtEndPr/>
    <w:sdtContent>
      <w:p w:rsidR="003B7811" w:rsidRPr="003B7811" w:rsidRDefault="003B7811" w:rsidP="003B7811">
        <w:pPr>
          <w:pStyle w:val="a4"/>
          <w:jc w:val="center"/>
          <w:rPr>
            <w:rFonts w:ascii="Arial" w:hAnsi="Arial" w:cs="Arial"/>
            <w:sz w:val="24"/>
            <w:szCs w:val="24"/>
          </w:rPr>
        </w:pPr>
        <w:r w:rsidRPr="003B7811">
          <w:rPr>
            <w:rFonts w:ascii="Arial" w:hAnsi="Arial" w:cs="Arial"/>
            <w:sz w:val="24"/>
            <w:szCs w:val="24"/>
          </w:rPr>
          <w:fldChar w:fldCharType="begin"/>
        </w:r>
        <w:r w:rsidRPr="003B7811">
          <w:rPr>
            <w:rFonts w:ascii="Arial" w:hAnsi="Arial" w:cs="Arial"/>
            <w:sz w:val="24"/>
            <w:szCs w:val="24"/>
          </w:rPr>
          <w:instrText>PAGE   \* MERGEFORMAT</w:instrText>
        </w:r>
        <w:r w:rsidRPr="003B7811">
          <w:rPr>
            <w:rFonts w:ascii="Arial" w:hAnsi="Arial" w:cs="Arial"/>
            <w:sz w:val="24"/>
            <w:szCs w:val="24"/>
          </w:rPr>
          <w:fldChar w:fldCharType="separate"/>
        </w:r>
        <w:r w:rsidR="002A3183">
          <w:rPr>
            <w:rFonts w:ascii="Arial" w:hAnsi="Arial" w:cs="Arial"/>
            <w:noProof/>
            <w:sz w:val="24"/>
            <w:szCs w:val="24"/>
          </w:rPr>
          <w:t>4</w:t>
        </w:r>
        <w:r w:rsidRPr="003B781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3B7811" w:rsidRDefault="003B78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CB4"/>
    <w:multiLevelType w:val="hybridMultilevel"/>
    <w:tmpl w:val="00A29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4CAE"/>
    <w:multiLevelType w:val="hybridMultilevel"/>
    <w:tmpl w:val="AAC6E130"/>
    <w:lvl w:ilvl="0" w:tplc="53986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4363A6"/>
    <w:multiLevelType w:val="hybridMultilevel"/>
    <w:tmpl w:val="B27478E4"/>
    <w:lvl w:ilvl="0" w:tplc="07000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E1BE0"/>
    <w:multiLevelType w:val="hybridMultilevel"/>
    <w:tmpl w:val="C9C62908"/>
    <w:lvl w:ilvl="0" w:tplc="D2800254">
      <w:start w:val="1"/>
      <w:numFmt w:val="decimal"/>
      <w:lvlText w:val="%1)"/>
      <w:lvlJc w:val="left"/>
      <w:pPr>
        <w:ind w:left="1069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2"/>
    <w:rsid w:val="000060AF"/>
    <w:rsid w:val="00030289"/>
    <w:rsid w:val="0004082D"/>
    <w:rsid w:val="00071511"/>
    <w:rsid w:val="00094ECC"/>
    <w:rsid w:val="000B7567"/>
    <w:rsid w:val="000B765A"/>
    <w:rsid w:val="001162EC"/>
    <w:rsid w:val="001167B1"/>
    <w:rsid w:val="00116DDE"/>
    <w:rsid w:val="00121CA0"/>
    <w:rsid w:val="00127ABF"/>
    <w:rsid w:val="001549D8"/>
    <w:rsid w:val="00161078"/>
    <w:rsid w:val="001610ED"/>
    <w:rsid w:val="0018278D"/>
    <w:rsid w:val="0019253B"/>
    <w:rsid w:val="001A1745"/>
    <w:rsid w:val="001A70BE"/>
    <w:rsid w:val="001D6B4C"/>
    <w:rsid w:val="001F5B94"/>
    <w:rsid w:val="001F6977"/>
    <w:rsid w:val="0020758A"/>
    <w:rsid w:val="00207B02"/>
    <w:rsid w:val="0021427D"/>
    <w:rsid w:val="00214423"/>
    <w:rsid w:val="00217151"/>
    <w:rsid w:val="00221D58"/>
    <w:rsid w:val="00231876"/>
    <w:rsid w:val="0024332F"/>
    <w:rsid w:val="0029709C"/>
    <w:rsid w:val="002A3183"/>
    <w:rsid w:val="002E0DC0"/>
    <w:rsid w:val="002F142D"/>
    <w:rsid w:val="00303DF4"/>
    <w:rsid w:val="00313ACB"/>
    <w:rsid w:val="00317EA8"/>
    <w:rsid w:val="00327721"/>
    <w:rsid w:val="003430C1"/>
    <w:rsid w:val="00373082"/>
    <w:rsid w:val="0037737A"/>
    <w:rsid w:val="00377A17"/>
    <w:rsid w:val="00377B97"/>
    <w:rsid w:val="003864BF"/>
    <w:rsid w:val="00391881"/>
    <w:rsid w:val="003B7811"/>
    <w:rsid w:val="003E27C0"/>
    <w:rsid w:val="00431EA1"/>
    <w:rsid w:val="004422EA"/>
    <w:rsid w:val="004752CA"/>
    <w:rsid w:val="004A10E7"/>
    <w:rsid w:val="004A60B5"/>
    <w:rsid w:val="004C584B"/>
    <w:rsid w:val="004E20A9"/>
    <w:rsid w:val="00517ABA"/>
    <w:rsid w:val="00551ABA"/>
    <w:rsid w:val="00576DAF"/>
    <w:rsid w:val="005A4D75"/>
    <w:rsid w:val="005A7444"/>
    <w:rsid w:val="005B38DA"/>
    <w:rsid w:val="005B5BEF"/>
    <w:rsid w:val="005D0B91"/>
    <w:rsid w:val="005E4FDD"/>
    <w:rsid w:val="0060596A"/>
    <w:rsid w:val="006059D8"/>
    <w:rsid w:val="00661DF6"/>
    <w:rsid w:val="006642A9"/>
    <w:rsid w:val="006735B9"/>
    <w:rsid w:val="00680151"/>
    <w:rsid w:val="006A08DD"/>
    <w:rsid w:val="006B7CE8"/>
    <w:rsid w:val="006C041F"/>
    <w:rsid w:val="006D01B5"/>
    <w:rsid w:val="006D25DF"/>
    <w:rsid w:val="006D7F17"/>
    <w:rsid w:val="00707D0A"/>
    <w:rsid w:val="007610F6"/>
    <w:rsid w:val="007732B2"/>
    <w:rsid w:val="0077348F"/>
    <w:rsid w:val="007A2260"/>
    <w:rsid w:val="007A428C"/>
    <w:rsid w:val="007B22D2"/>
    <w:rsid w:val="007C5359"/>
    <w:rsid w:val="00801A34"/>
    <w:rsid w:val="00805CCD"/>
    <w:rsid w:val="008309D4"/>
    <w:rsid w:val="00862454"/>
    <w:rsid w:val="00891CCA"/>
    <w:rsid w:val="00895B4C"/>
    <w:rsid w:val="008A2FC0"/>
    <w:rsid w:val="008A3029"/>
    <w:rsid w:val="008A3A51"/>
    <w:rsid w:val="009109CB"/>
    <w:rsid w:val="00927C70"/>
    <w:rsid w:val="009377B9"/>
    <w:rsid w:val="00977C1C"/>
    <w:rsid w:val="009A4089"/>
    <w:rsid w:val="009D0374"/>
    <w:rsid w:val="009F2DFB"/>
    <w:rsid w:val="009F3046"/>
    <w:rsid w:val="00A05873"/>
    <w:rsid w:val="00A2413D"/>
    <w:rsid w:val="00A63907"/>
    <w:rsid w:val="00A64978"/>
    <w:rsid w:val="00A81CEC"/>
    <w:rsid w:val="00AB02ED"/>
    <w:rsid w:val="00AB4228"/>
    <w:rsid w:val="00AB69EE"/>
    <w:rsid w:val="00AD7B02"/>
    <w:rsid w:val="00AF3C60"/>
    <w:rsid w:val="00B12FD9"/>
    <w:rsid w:val="00B13A29"/>
    <w:rsid w:val="00B35DDC"/>
    <w:rsid w:val="00B40AE3"/>
    <w:rsid w:val="00B8601F"/>
    <w:rsid w:val="00BB3628"/>
    <w:rsid w:val="00BC21E8"/>
    <w:rsid w:val="00BD15A5"/>
    <w:rsid w:val="00BD6D85"/>
    <w:rsid w:val="00C028E5"/>
    <w:rsid w:val="00C10846"/>
    <w:rsid w:val="00C17E17"/>
    <w:rsid w:val="00C27C1F"/>
    <w:rsid w:val="00C52403"/>
    <w:rsid w:val="00C90D50"/>
    <w:rsid w:val="00CB5378"/>
    <w:rsid w:val="00CF5D5C"/>
    <w:rsid w:val="00D0442F"/>
    <w:rsid w:val="00D133C9"/>
    <w:rsid w:val="00D515FB"/>
    <w:rsid w:val="00DA3DC9"/>
    <w:rsid w:val="00DB3CD1"/>
    <w:rsid w:val="00DD062B"/>
    <w:rsid w:val="00DE6852"/>
    <w:rsid w:val="00DF38DA"/>
    <w:rsid w:val="00E25B2C"/>
    <w:rsid w:val="00E31253"/>
    <w:rsid w:val="00E5462D"/>
    <w:rsid w:val="00E55F40"/>
    <w:rsid w:val="00EA77AC"/>
    <w:rsid w:val="00EE0344"/>
    <w:rsid w:val="00EE1268"/>
    <w:rsid w:val="00EF1742"/>
    <w:rsid w:val="00F11AB1"/>
    <w:rsid w:val="00F35988"/>
    <w:rsid w:val="00F3731B"/>
    <w:rsid w:val="00F6626E"/>
    <w:rsid w:val="00FC12B3"/>
    <w:rsid w:val="00FD321D"/>
    <w:rsid w:val="00FD3248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D5B9"/>
  <w15:chartTrackingRefBased/>
  <w15:docId w15:val="{5D641254-D20F-40DB-8640-C83C6D5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11"/>
  </w:style>
  <w:style w:type="paragraph" w:styleId="a6">
    <w:name w:val="footer"/>
    <w:basedOn w:val="a"/>
    <w:link w:val="a7"/>
    <w:uiPriority w:val="99"/>
    <w:unhideWhenUsed/>
    <w:rsid w:val="003B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11"/>
  </w:style>
  <w:style w:type="paragraph" w:styleId="a8">
    <w:name w:val="Balloon Text"/>
    <w:basedOn w:val="a"/>
    <w:link w:val="a9"/>
    <w:uiPriority w:val="99"/>
    <w:semiHidden/>
    <w:unhideWhenUsed/>
    <w:rsid w:val="00B1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FD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C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Синичкин Александр</dc:creator>
  <cp:keywords/>
  <dc:description/>
  <cp:lastModifiedBy>Минспорт ЧР Головин Игорь</cp:lastModifiedBy>
  <cp:revision>5</cp:revision>
  <cp:lastPrinted>2020-11-21T10:55:00Z</cp:lastPrinted>
  <dcterms:created xsi:type="dcterms:W3CDTF">2020-11-21T09:41:00Z</dcterms:created>
  <dcterms:modified xsi:type="dcterms:W3CDTF">2020-11-21T11:15:00Z</dcterms:modified>
</cp:coreProperties>
</file>