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41" w:rsidRDefault="00CC304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3041" w:rsidRDefault="00CC3041">
      <w:pPr>
        <w:pStyle w:val="ConsPlusNormal"/>
        <w:jc w:val="both"/>
        <w:outlineLvl w:val="0"/>
      </w:pPr>
    </w:p>
    <w:p w:rsidR="00CC3041" w:rsidRDefault="00CC3041">
      <w:pPr>
        <w:pStyle w:val="ConsPlusNormal"/>
        <w:jc w:val="both"/>
        <w:outlineLvl w:val="0"/>
      </w:pPr>
      <w:r>
        <w:t>Зарегистрировано в Минюсте ЧР 27 декабря 2018 г. N 5029</w:t>
      </w:r>
    </w:p>
    <w:p w:rsidR="00CC3041" w:rsidRDefault="00CC3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Title"/>
        <w:jc w:val="center"/>
      </w:pPr>
      <w:r>
        <w:t>ГОСУДАРСТВЕННАЯ СЛУЖБА ЧУВАШСКОЙ РЕСПУБЛИКИ</w:t>
      </w:r>
    </w:p>
    <w:p w:rsidR="00CC3041" w:rsidRDefault="00CC3041">
      <w:pPr>
        <w:pStyle w:val="ConsPlusTitle"/>
        <w:jc w:val="center"/>
      </w:pPr>
      <w:r>
        <w:t>ПО КОНКУРЕНТНОЙ ПОЛИТИКЕ И ТАРИФАМ</w:t>
      </w:r>
    </w:p>
    <w:p w:rsidR="00CC3041" w:rsidRDefault="00CC3041">
      <w:pPr>
        <w:pStyle w:val="ConsPlusTitle"/>
        <w:jc w:val="both"/>
      </w:pPr>
    </w:p>
    <w:p w:rsidR="00CC3041" w:rsidRDefault="00CC3041">
      <w:pPr>
        <w:pStyle w:val="ConsPlusTitle"/>
        <w:jc w:val="center"/>
      </w:pPr>
      <w:r>
        <w:t>ПОСТАНОВЛЕНИЕ</w:t>
      </w:r>
    </w:p>
    <w:p w:rsidR="00CC3041" w:rsidRDefault="00CC3041">
      <w:pPr>
        <w:pStyle w:val="ConsPlusTitle"/>
        <w:jc w:val="center"/>
      </w:pPr>
      <w:r>
        <w:t>от 26 декабря 2018 г. N 162-35/э</w:t>
      </w:r>
    </w:p>
    <w:p w:rsidR="00CC3041" w:rsidRDefault="00CC3041">
      <w:pPr>
        <w:pStyle w:val="ConsPlusTitle"/>
        <w:jc w:val="both"/>
      </w:pPr>
    </w:p>
    <w:p w:rsidR="00CC3041" w:rsidRDefault="00CC3041">
      <w:pPr>
        <w:pStyle w:val="ConsPlusTitle"/>
        <w:jc w:val="center"/>
      </w:pPr>
      <w:r>
        <w:t>ОБ УСТАНОВЛЕНИИ СБЫТОВЫХ НАДБАВОК</w:t>
      </w:r>
    </w:p>
    <w:p w:rsidR="00CC3041" w:rsidRDefault="00CC3041">
      <w:pPr>
        <w:pStyle w:val="ConsPlusTitle"/>
        <w:jc w:val="center"/>
      </w:pPr>
      <w:r>
        <w:t>ГАРАНТИРУЮЩЕГО ПОСТАВЩИКА ЭЛЕКТРИЧЕСКОЙ ЭНЕРГИИ</w:t>
      </w:r>
    </w:p>
    <w:p w:rsidR="00CC3041" w:rsidRDefault="00CC3041">
      <w:pPr>
        <w:pStyle w:val="ConsPlusTitle"/>
        <w:jc w:val="center"/>
      </w:pPr>
      <w:r>
        <w:t>АКЦИОНЕРНОГО ОБЩЕСТВА "ЧУВАШСКАЯ ЭНЕРГОСБЫТОВАЯ КОМПАНИЯ",</w:t>
      </w:r>
    </w:p>
    <w:p w:rsidR="00CC3041" w:rsidRDefault="00CC3041">
      <w:pPr>
        <w:pStyle w:val="ConsPlusTitle"/>
        <w:jc w:val="center"/>
      </w:pPr>
      <w:proofErr w:type="gramStart"/>
      <w:r>
        <w:t>ПОСТАВЛЯЮЩЕГО</w:t>
      </w:r>
      <w:proofErr w:type="gramEnd"/>
      <w:r>
        <w:t xml:space="preserve"> ЭЛЕКТРИЧЕСКУЮ ЭНЕРГИЮ (МОЩНОСТЬ)</w:t>
      </w:r>
    </w:p>
    <w:p w:rsidR="00CC3041" w:rsidRDefault="00CC3041">
      <w:pPr>
        <w:pStyle w:val="ConsPlusTitle"/>
        <w:jc w:val="center"/>
      </w:pPr>
      <w:r>
        <w:t>НА РОЗНИЧНОМ РЫНКЕ НА ТЕРРИТОРИИ ЧУВАШСКОЙ РЕСПУБЛИКИ,</w:t>
      </w:r>
    </w:p>
    <w:p w:rsidR="00CC3041" w:rsidRDefault="00CC3041">
      <w:pPr>
        <w:pStyle w:val="ConsPlusTitle"/>
        <w:jc w:val="center"/>
      </w:pPr>
      <w:r>
        <w:t>НА 2019 ГОД</w:t>
      </w: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постановлениями Правительства Российской Федерации от 29 декабря 2011 г. </w:t>
      </w:r>
      <w:hyperlink r:id="rId7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4 мая 2012 г. </w:t>
      </w:r>
      <w:hyperlink r:id="rId8" w:history="1">
        <w:r>
          <w:rPr>
            <w:color w:val="0000FF"/>
          </w:rPr>
          <w:t>N 442</w:t>
        </w:r>
      </w:hyperlink>
      <w: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</w:t>
      </w:r>
      <w:proofErr w:type="gramEnd"/>
      <w:r>
        <w:t xml:space="preserve"> </w:t>
      </w:r>
      <w:proofErr w:type="gramStart"/>
      <w:r>
        <w:t xml:space="preserve">от 21 ноября 2017 г. N 1554/17 "Об утверждении методических указаний по расчету сбытовых надбавок гарантирующих поставщиков с использованием метода сравнения аналогов" (зарегистрирован в Министерстве юстиции Российской Федерации 24 ноября 2017 г., регистрационный N 48992),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</w:t>
      </w:r>
      <w:proofErr w:type="gramEnd"/>
      <w:r>
        <w:t xml:space="preserve"> коллегии Государственной службы Чувашской Республики по конкурентной политике и тарифам от 25 декабря 2018 г. N 35 Государственная служба Чувашской Республики по конкурентной политике и тарифам постановляет:</w:t>
      </w:r>
    </w:p>
    <w:p w:rsidR="00CC3041" w:rsidRDefault="00CC3041">
      <w:pPr>
        <w:pStyle w:val="ConsPlusNormal"/>
        <w:spacing w:before="220"/>
        <w:ind w:firstLine="540"/>
        <w:jc w:val="both"/>
      </w:pPr>
      <w:r>
        <w:t xml:space="preserve">1. Установить сбытовые </w:t>
      </w:r>
      <w:hyperlink w:anchor="P36" w:history="1">
        <w:r>
          <w:rPr>
            <w:color w:val="0000FF"/>
          </w:rPr>
          <w:t>надбавки</w:t>
        </w:r>
      </w:hyperlink>
      <w:r>
        <w:t xml:space="preserve"> гарантирующего поставщика электрической энергии Акционерного общества "Чувашская </w:t>
      </w:r>
      <w:proofErr w:type="spellStart"/>
      <w:r>
        <w:t>энергосбытовая</w:t>
      </w:r>
      <w:proofErr w:type="spellEnd"/>
      <w:r>
        <w:t xml:space="preserve"> компания", поставляющего электрическую энергию (мощность) на розничном рынке на территории Чувашской Республики, на 2019 год согласно приложению к настоящему постановлению.</w:t>
      </w:r>
    </w:p>
    <w:p w:rsidR="00CC3041" w:rsidRDefault="00CC30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2017 г. N 131-26/э "Об установлении сбытовых надбавок гарантирующего поставщика электрической энергии Акционерного общества "Чувашская </w:t>
      </w:r>
      <w:proofErr w:type="spellStart"/>
      <w:r>
        <w:t>энергосбытовая</w:t>
      </w:r>
      <w:proofErr w:type="spellEnd"/>
      <w:r>
        <w:t xml:space="preserve"> компания", поставляющего электрическую энергию (мощность) на розничном рынке на территории Чувашской Республики, на 2018 год", зарегистрированное в Министерстве юстиции и имущественных отношений Чувашской Республики 28 декабря 2017</w:t>
      </w:r>
      <w:proofErr w:type="gramEnd"/>
      <w:r>
        <w:t xml:space="preserve"> г., регистрационный N 4262.</w:t>
      </w:r>
    </w:p>
    <w:p w:rsidR="00CC3041" w:rsidRDefault="00CC304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right"/>
      </w:pPr>
      <w:r>
        <w:t>Руководитель</w:t>
      </w:r>
    </w:p>
    <w:p w:rsidR="00CC3041" w:rsidRDefault="00CC3041">
      <w:pPr>
        <w:pStyle w:val="ConsPlusNormal"/>
        <w:jc w:val="right"/>
      </w:pPr>
      <w:r>
        <w:t>М.КАДИЛОВА</w:t>
      </w: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right"/>
        <w:outlineLvl w:val="0"/>
      </w:pPr>
      <w:r>
        <w:t>Приложение</w:t>
      </w:r>
    </w:p>
    <w:p w:rsidR="00CC3041" w:rsidRDefault="00CC3041">
      <w:pPr>
        <w:pStyle w:val="ConsPlusNormal"/>
        <w:jc w:val="right"/>
      </w:pPr>
      <w:r>
        <w:t>к постановлению</w:t>
      </w:r>
    </w:p>
    <w:p w:rsidR="00CC3041" w:rsidRDefault="00CC3041">
      <w:pPr>
        <w:pStyle w:val="ConsPlusNormal"/>
        <w:jc w:val="right"/>
      </w:pPr>
      <w:r>
        <w:t>Государственной службы</w:t>
      </w:r>
    </w:p>
    <w:p w:rsidR="00CC3041" w:rsidRDefault="00CC3041">
      <w:pPr>
        <w:pStyle w:val="ConsPlusNormal"/>
        <w:jc w:val="right"/>
      </w:pPr>
      <w:r>
        <w:t>Чувашской Республики</w:t>
      </w:r>
    </w:p>
    <w:p w:rsidR="00CC3041" w:rsidRDefault="00CC3041">
      <w:pPr>
        <w:pStyle w:val="ConsPlusNormal"/>
        <w:jc w:val="right"/>
      </w:pPr>
      <w:r>
        <w:t>по конкурентной политике и тарифам</w:t>
      </w:r>
    </w:p>
    <w:p w:rsidR="00CC3041" w:rsidRDefault="00CC3041">
      <w:pPr>
        <w:pStyle w:val="ConsPlusNormal"/>
        <w:jc w:val="right"/>
      </w:pPr>
      <w:r>
        <w:t>от 26.12.2018 N 162-35/э</w:t>
      </w: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Title"/>
        <w:jc w:val="center"/>
      </w:pPr>
      <w:bookmarkStart w:id="0" w:name="P36"/>
      <w:bookmarkEnd w:id="0"/>
      <w:r>
        <w:t>СБЫТОВЫЕ НАДБАВКИ</w:t>
      </w:r>
    </w:p>
    <w:p w:rsidR="00CC3041" w:rsidRDefault="00CC3041">
      <w:pPr>
        <w:pStyle w:val="ConsPlusTitle"/>
        <w:jc w:val="center"/>
      </w:pPr>
      <w:r>
        <w:t>ГАРАНТИРУЮЩЕГО ПОСТАВЩИКА ЭЛЕКТРИЧЕСКОЙ ЭНЕРГИИ</w:t>
      </w:r>
    </w:p>
    <w:p w:rsidR="00CC3041" w:rsidRDefault="00CC3041">
      <w:pPr>
        <w:pStyle w:val="ConsPlusTitle"/>
        <w:jc w:val="center"/>
      </w:pPr>
      <w:r>
        <w:t>АКЦИОНЕРНОГО ОБЩЕСТВА "ЧУВАШСКАЯ ЭНЕРГОСБЫТОВАЯ КОМПАНИЯ",</w:t>
      </w:r>
    </w:p>
    <w:p w:rsidR="00CC3041" w:rsidRDefault="00CC3041">
      <w:pPr>
        <w:pStyle w:val="ConsPlusTitle"/>
        <w:jc w:val="center"/>
      </w:pPr>
      <w:proofErr w:type="gramStart"/>
      <w:r>
        <w:t>ПОСТАВЛЯЮЩЕГО</w:t>
      </w:r>
      <w:proofErr w:type="gramEnd"/>
      <w:r>
        <w:t xml:space="preserve"> ЭЛЕКТРИЧЕСКУЮ ЭНЕРГИЮ (МОЩНОСТЬ)</w:t>
      </w:r>
    </w:p>
    <w:p w:rsidR="00CC3041" w:rsidRDefault="00CC3041">
      <w:pPr>
        <w:pStyle w:val="ConsPlusTitle"/>
        <w:jc w:val="center"/>
      </w:pPr>
      <w:r>
        <w:t>НА РОЗНИЧНОМ РЫНКЕ НА ТЕРРИТОРИИ ЧУВАШСКОЙ РЕСПУБЛИКИ,</w:t>
      </w:r>
    </w:p>
    <w:p w:rsidR="00CC3041" w:rsidRDefault="00CC3041">
      <w:pPr>
        <w:pStyle w:val="ConsPlusTitle"/>
        <w:jc w:val="center"/>
      </w:pPr>
      <w:r>
        <w:t>НА 2019 ГОД</w:t>
      </w: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right"/>
      </w:pPr>
      <w:r>
        <w:t>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НДС)</w:t>
      </w:r>
    </w:p>
    <w:p w:rsidR="00CC3041" w:rsidRDefault="00CC3041">
      <w:pPr>
        <w:sectPr w:rsidR="00CC3041" w:rsidSect="00B43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041" w:rsidRDefault="00CC304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CC3041">
        <w:tc>
          <w:tcPr>
            <w:tcW w:w="11800" w:type="dxa"/>
            <w:gridSpan w:val="10"/>
          </w:tcPr>
          <w:p w:rsidR="00CC3041" w:rsidRDefault="00CC3041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CC3041">
        <w:tc>
          <w:tcPr>
            <w:tcW w:w="2360" w:type="dxa"/>
            <w:gridSpan w:val="2"/>
          </w:tcPr>
          <w:p w:rsidR="00CC3041" w:rsidRDefault="00CC3041">
            <w:pPr>
              <w:pStyle w:val="ConsPlusNormal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360" w:type="dxa"/>
            <w:gridSpan w:val="2"/>
          </w:tcPr>
          <w:p w:rsidR="00CC3041" w:rsidRDefault="00CC3041">
            <w:pPr>
              <w:pStyle w:val="ConsPlusNormal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потерь"</w:t>
            </w:r>
          </w:p>
        </w:tc>
        <w:tc>
          <w:tcPr>
            <w:tcW w:w="2360" w:type="dxa"/>
            <w:gridSpan w:val="2"/>
          </w:tcPr>
          <w:p w:rsidR="00CC3041" w:rsidRDefault="00CC3041">
            <w:pPr>
              <w:pStyle w:val="ConsPlusNormal"/>
              <w:jc w:val="center"/>
            </w:pPr>
            <w: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670 кВт</w:t>
            </w:r>
          </w:p>
        </w:tc>
        <w:tc>
          <w:tcPr>
            <w:tcW w:w="2360" w:type="dxa"/>
            <w:gridSpan w:val="2"/>
          </w:tcPr>
          <w:p w:rsidR="00CC3041" w:rsidRDefault="00CC3041">
            <w:pPr>
              <w:pStyle w:val="ConsPlusNormal"/>
              <w:jc w:val="center"/>
            </w:pPr>
            <w: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 670 кВт до 10 МВт</w:t>
            </w:r>
          </w:p>
        </w:tc>
        <w:tc>
          <w:tcPr>
            <w:tcW w:w="2360" w:type="dxa"/>
            <w:gridSpan w:val="2"/>
          </w:tcPr>
          <w:p w:rsidR="00CC3041" w:rsidRDefault="00CC3041">
            <w:pPr>
              <w:pStyle w:val="ConsPlusNormal"/>
              <w:jc w:val="center"/>
            </w:pPr>
            <w: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не менее 10 МВт</w:t>
            </w:r>
          </w:p>
        </w:tc>
      </w:tr>
      <w:tr w:rsidR="00CC3041"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CC3041"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0,25151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0,31876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0,13305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0,15414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0,295930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0,37856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0,15078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0,17222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0,09864</w:t>
            </w:r>
          </w:p>
        </w:tc>
        <w:tc>
          <w:tcPr>
            <w:tcW w:w="1180" w:type="dxa"/>
          </w:tcPr>
          <w:p w:rsidR="00CC3041" w:rsidRDefault="00CC3041">
            <w:pPr>
              <w:pStyle w:val="ConsPlusNormal"/>
              <w:jc w:val="center"/>
            </w:pPr>
            <w:r>
              <w:t>0,12619</w:t>
            </w:r>
          </w:p>
        </w:tc>
      </w:tr>
    </w:tbl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jc w:val="both"/>
      </w:pPr>
    </w:p>
    <w:p w:rsidR="00CC3041" w:rsidRDefault="00CC3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1" w:name="_GoBack"/>
      <w:bookmarkEnd w:id="1"/>
    </w:p>
    <w:sectPr w:rsidR="00C336DB" w:rsidSect="007A71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41"/>
    <w:rsid w:val="007A5599"/>
    <w:rsid w:val="00C336DB"/>
    <w:rsid w:val="00C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F0DDD3EF3CBF4C6379A45E6D5E1536C3E1CE4AD316AD7910D68565933E4CF1770D604DE1579946F8D364ACkFa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41F0DDD3EF3CBF4C6379A45E6D5E1536C2E0C648D916AD7910D68565933E4CF1770D604DE1579946F8D364ACkFa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F0DDD3EF3CBF4C6379A45E6D5E1536C2E0C648D916AD7910D68565933E4CF1770D604DE1579946F8D364ACkFaDF" TargetMode="External"/><Relationship Id="rId11" Type="http://schemas.openxmlformats.org/officeDocument/2006/relationships/hyperlink" Target="consultantplus://offline/ref=F541F0DDD3EF3CBF4C6367A9480100113DC9BCC24FD01DF82444D0D23AC33819A33753391EA21C9544E1CF65AEE3F34B44k6a6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541F0DDD3EF3CBF4C6367A9480100113DC9BCC24FD01AFD2C42D0D23AC33819A33753391EA21C9544E1CF65AEE3F34B44k6a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1F0DDD3EF3CBF4C6379A45E6D5E1536C2E2CA4ED516AD7910D68565933E4CF1770D604DE1579946F8D364ACkF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2020-10-27T05:26:00Z</dcterms:created>
  <dcterms:modified xsi:type="dcterms:W3CDTF">2020-10-27T05:26:00Z</dcterms:modified>
</cp:coreProperties>
</file>