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A" w:rsidRDefault="00FF13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32A" w:rsidRDefault="00FF132A">
      <w:pPr>
        <w:pStyle w:val="ConsPlusNormal"/>
        <w:jc w:val="both"/>
        <w:outlineLvl w:val="0"/>
      </w:pPr>
    </w:p>
    <w:p w:rsidR="00FF132A" w:rsidRDefault="00FF132A">
      <w:pPr>
        <w:pStyle w:val="ConsPlusNormal"/>
        <w:jc w:val="both"/>
        <w:outlineLvl w:val="0"/>
      </w:pPr>
      <w:r>
        <w:t>Зарегистрировано в Минюсте ЧР 28 декабря 2018 г. N 5040</w:t>
      </w:r>
    </w:p>
    <w:p w:rsidR="00FF132A" w:rsidRDefault="00FF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Title"/>
        <w:jc w:val="center"/>
      </w:pPr>
      <w:r>
        <w:t>ГОСУДАРСТВЕННАЯ СЛУЖБА ЧУВАШСКОЙ РЕСПУБЛИКИ</w:t>
      </w:r>
    </w:p>
    <w:p w:rsidR="00FF132A" w:rsidRDefault="00FF132A">
      <w:pPr>
        <w:pStyle w:val="ConsPlusTitle"/>
        <w:jc w:val="center"/>
      </w:pPr>
      <w:r>
        <w:t>ПО КОНКУРЕНТНОЙ ПОЛИТИКЕ И ТАРИФАМ</w:t>
      </w:r>
    </w:p>
    <w:p w:rsidR="00FF132A" w:rsidRDefault="00FF132A">
      <w:pPr>
        <w:pStyle w:val="ConsPlusTitle"/>
        <w:jc w:val="center"/>
      </w:pPr>
    </w:p>
    <w:p w:rsidR="00FF132A" w:rsidRDefault="00FF132A">
      <w:pPr>
        <w:pStyle w:val="ConsPlusTitle"/>
        <w:jc w:val="center"/>
      </w:pPr>
      <w:r>
        <w:t>ПОСТАНОВЛЕНИЕ</w:t>
      </w:r>
    </w:p>
    <w:p w:rsidR="00FF132A" w:rsidRDefault="00FF132A">
      <w:pPr>
        <w:pStyle w:val="ConsPlusTitle"/>
        <w:jc w:val="center"/>
      </w:pPr>
      <w:r>
        <w:t>от 26 декабря 2018 г. N 164-35/э</w:t>
      </w:r>
    </w:p>
    <w:p w:rsidR="00FF132A" w:rsidRDefault="00FF132A">
      <w:pPr>
        <w:pStyle w:val="ConsPlusTitle"/>
      </w:pPr>
    </w:p>
    <w:p w:rsidR="00FF132A" w:rsidRDefault="00FF132A">
      <w:pPr>
        <w:pStyle w:val="ConsPlusTitle"/>
        <w:jc w:val="center"/>
      </w:pPr>
      <w:r>
        <w:t>ОБ УСТАНОВЛЕНИИ ЕДИНЫХ (КОТЛОВЫХ) ТАРИФОВ</w:t>
      </w:r>
    </w:p>
    <w:p w:rsidR="00FF132A" w:rsidRDefault="00FF132A">
      <w:pPr>
        <w:pStyle w:val="ConsPlusTitle"/>
        <w:jc w:val="center"/>
      </w:pPr>
      <w:r>
        <w:t>НА УСЛУГИ ПО ПЕРЕДАЧЕ ЭЛЕКТРИЧЕСКОЙ ЭНЕРГИИ</w:t>
      </w:r>
    </w:p>
    <w:p w:rsidR="00FF132A" w:rsidRDefault="00FF132A">
      <w:pPr>
        <w:pStyle w:val="ConsPlusTitle"/>
        <w:jc w:val="center"/>
      </w:pPr>
      <w:r>
        <w:t>НА ТЕРРИТОРИИ ЧУВАШСКОЙ РЕСПУБЛИКИ НА 2019 ГОД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25 декабря 2018 г. N 35 Государственная служба Чувашской Республики по конкурентной политике и тарифам постановляет:</w:t>
      </w:r>
    </w:p>
    <w:p w:rsidR="00FF132A" w:rsidRDefault="00FF132A">
      <w:pPr>
        <w:pStyle w:val="ConsPlusNormal"/>
        <w:spacing w:before="220"/>
        <w:ind w:firstLine="540"/>
        <w:jc w:val="both"/>
      </w:pPr>
      <w:r>
        <w:t>1. Установить:</w:t>
      </w:r>
    </w:p>
    <w:p w:rsidR="00FF132A" w:rsidRDefault="00FF132A">
      <w:pPr>
        <w:pStyle w:val="ConsPlusNormal"/>
        <w:spacing w:before="220"/>
        <w:ind w:firstLine="540"/>
        <w:jc w:val="both"/>
      </w:pPr>
      <w:r>
        <w:t xml:space="preserve">единые (котловые)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Чувашской Республики, поставляемой прочим потребителям, на 2019 год (приложение N 1);</w:t>
      </w:r>
    </w:p>
    <w:p w:rsidR="00FF132A" w:rsidRDefault="00FF132A">
      <w:pPr>
        <w:pStyle w:val="ConsPlusNormal"/>
        <w:spacing w:before="220"/>
        <w:ind w:firstLine="540"/>
        <w:jc w:val="both"/>
      </w:pPr>
      <w:r>
        <w:t xml:space="preserve">единые (котловые) </w:t>
      </w:r>
      <w:hyperlink w:anchor="P610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Чувашской Республики, поставляемой населению и приравненным к нему категориям потребителей, на 2019 год (приложение N 2).</w:t>
      </w:r>
    </w:p>
    <w:p w:rsidR="00FF132A" w:rsidRDefault="00FF13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130-26/э "Об установлении единых (котловых) тарифов на услуги по передаче электрической энергии на территории Чувашской Республики на 2018 год", зарегистрированное в Министерстве юстиции и имущественных отношений Чувашской Республики 28 декабря 2017 г., регистрационный N 4261.</w:t>
      </w:r>
      <w:proofErr w:type="gramEnd"/>
    </w:p>
    <w:p w:rsidR="00FF132A" w:rsidRDefault="00FF13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г.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right"/>
      </w:pPr>
      <w:r>
        <w:t>Руководитель</w:t>
      </w:r>
    </w:p>
    <w:p w:rsidR="00FF132A" w:rsidRDefault="00FF132A">
      <w:pPr>
        <w:pStyle w:val="ConsPlusNormal"/>
        <w:jc w:val="right"/>
      </w:pPr>
      <w:r>
        <w:t>М.КАДИЛОВА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right"/>
        <w:outlineLvl w:val="0"/>
      </w:pPr>
      <w:r>
        <w:t>Приложение N 1</w:t>
      </w:r>
    </w:p>
    <w:p w:rsidR="00FF132A" w:rsidRDefault="00FF132A">
      <w:pPr>
        <w:pStyle w:val="ConsPlusNormal"/>
        <w:jc w:val="right"/>
      </w:pPr>
      <w:r>
        <w:t>к постановлению</w:t>
      </w:r>
    </w:p>
    <w:p w:rsidR="00FF132A" w:rsidRDefault="00FF132A">
      <w:pPr>
        <w:pStyle w:val="ConsPlusNormal"/>
        <w:jc w:val="right"/>
      </w:pPr>
      <w:r>
        <w:t>Государственной службы</w:t>
      </w:r>
    </w:p>
    <w:p w:rsidR="00FF132A" w:rsidRDefault="00FF132A">
      <w:pPr>
        <w:pStyle w:val="ConsPlusNormal"/>
        <w:jc w:val="right"/>
      </w:pPr>
      <w:r>
        <w:t>Чувашской Республики</w:t>
      </w:r>
    </w:p>
    <w:p w:rsidR="00FF132A" w:rsidRDefault="00FF132A">
      <w:pPr>
        <w:pStyle w:val="ConsPlusNormal"/>
        <w:jc w:val="right"/>
      </w:pPr>
      <w:r>
        <w:t>по конкурентной политике и тарифам</w:t>
      </w:r>
    </w:p>
    <w:p w:rsidR="00FF132A" w:rsidRDefault="00FF132A">
      <w:pPr>
        <w:pStyle w:val="ConsPlusNormal"/>
        <w:jc w:val="right"/>
      </w:pPr>
      <w:r>
        <w:lastRenderedPageBreak/>
        <w:t>от 26.12.2018 N 164-35/э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Title"/>
        <w:jc w:val="center"/>
      </w:pPr>
      <w:bookmarkStart w:id="0" w:name="P35"/>
      <w:bookmarkEnd w:id="0"/>
      <w:r>
        <w:t>ЕДИНЫЕ (КОТЛОВЫЕ) ТАРИФЫ</w:t>
      </w:r>
    </w:p>
    <w:p w:rsidR="00FF132A" w:rsidRDefault="00FF132A">
      <w:pPr>
        <w:pStyle w:val="ConsPlusTitle"/>
        <w:jc w:val="center"/>
      </w:pPr>
      <w:r>
        <w:t>НА УСЛУГИ ПО ПЕРЕДАЧЕ ЭЛЕКТРИЧЕСКОЙ ЭНЕРГИИ</w:t>
      </w:r>
    </w:p>
    <w:p w:rsidR="00FF132A" w:rsidRDefault="00FF132A">
      <w:pPr>
        <w:pStyle w:val="ConsPlusTitle"/>
        <w:jc w:val="center"/>
      </w:pPr>
      <w:r>
        <w:t>ПО СЕТЯМ ЧУВАШСКОЙ РЕСПУБЛИКИ, ПОСТАВЛЯЕМОЙ</w:t>
      </w:r>
    </w:p>
    <w:p w:rsidR="00FF132A" w:rsidRDefault="00FF132A">
      <w:pPr>
        <w:pStyle w:val="ConsPlusTitle"/>
        <w:jc w:val="center"/>
      </w:pPr>
      <w:r>
        <w:t>ПРОЧИМ ПОТРЕБИТЕЛЯМ, НА 2019 ГОД</w:t>
      </w:r>
    </w:p>
    <w:p w:rsidR="00FF132A" w:rsidRDefault="00FF1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71"/>
        <w:gridCol w:w="794"/>
        <w:gridCol w:w="1204"/>
        <w:gridCol w:w="1144"/>
        <w:gridCol w:w="1144"/>
        <w:gridCol w:w="1144"/>
        <w:gridCol w:w="1144"/>
      </w:tblGrid>
      <w:tr w:rsidR="00FF132A">
        <w:tc>
          <w:tcPr>
            <w:tcW w:w="60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N</w:t>
            </w:r>
          </w:p>
          <w:p w:rsidR="00FF132A" w:rsidRDefault="00FF13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FF132A" w:rsidRDefault="00FF132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80" w:type="dxa"/>
            <w:gridSpan w:val="5"/>
          </w:tcPr>
          <w:p w:rsidR="00FF132A" w:rsidRDefault="00FF132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F132A">
        <w:tc>
          <w:tcPr>
            <w:tcW w:w="604" w:type="dxa"/>
            <w:vMerge/>
          </w:tcPr>
          <w:p w:rsidR="00FF132A" w:rsidRDefault="00FF132A"/>
        </w:tc>
        <w:tc>
          <w:tcPr>
            <w:tcW w:w="1871" w:type="dxa"/>
            <w:vMerge/>
          </w:tcPr>
          <w:p w:rsidR="00FF132A" w:rsidRDefault="00FF132A"/>
        </w:tc>
        <w:tc>
          <w:tcPr>
            <w:tcW w:w="794" w:type="dxa"/>
            <w:vMerge/>
          </w:tcPr>
          <w:p w:rsidR="00FF132A" w:rsidRDefault="00FF132A"/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НН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8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FF132A" w:rsidRDefault="00FF132A">
            <w:pPr>
              <w:pStyle w:val="ConsPlusNormal"/>
              <w:jc w:val="both"/>
            </w:pPr>
            <w:r>
              <w:t>Прочие потребители (тарифы указываются без учета НДС)</w:t>
            </w:r>
          </w:p>
        </w:tc>
        <w:tc>
          <w:tcPr>
            <w:tcW w:w="5780" w:type="dxa"/>
            <w:gridSpan w:val="5"/>
          </w:tcPr>
          <w:p w:rsidR="00FF132A" w:rsidRDefault="00FF132A">
            <w:pPr>
              <w:pStyle w:val="ConsPlusNormal"/>
              <w:jc w:val="center"/>
            </w:pPr>
            <w:r>
              <w:t>с 01.01.2019 по 30.06.2019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5" w:type="dxa"/>
            <w:gridSpan w:val="7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512831,56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782088,82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770959,18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852690,45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69,28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183,19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277,93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686,82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1,49337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1,53814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1,60074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2,43660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683841,77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460754,79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12263,84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170108,90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40714,24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Ставка перекрестного субсидирования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506,43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537,29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736,48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490,84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314,30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gridSpan w:val="2"/>
          </w:tcPr>
          <w:p w:rsidR="00FF132A" w:rsidRDefault="00FF132A">
            <w:pPr>
              <w:pStyle w:val="ConsPlusNormal"/>
              <w:jc w:val="both"/>
            </w:pPr>
            <w:r>
              <w:t>Прочие потребители (тарифы указываются без учета НДС)</w:t>
            </w:r>
          </w:p>
        </w:tc>
        <w:tc>
          <w:tcPr>
            <w:tcW w:w="5780" w:type="dxa"/>
            <w:gridSpan w:val="5"/>
          </w:tcPr>
          <w:p w:rsidR="00FF132A" w:rsidRDefault="00FF132A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5" w:type="dxa"/>
            <w:gridSpan w:val="7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- ставка за </w:t>
            </w:r>
            <w:r>
              <w:lastRenderedPageBreak/>
              <w:t>содержание электрических сетей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М</w:t>
            </w:r>
            <w:r>
              <w:lastRenderedPageBreak/>
              <w:t>Вт·мес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525139,52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800858,96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789462,20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873155,02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201,51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305,72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755,50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1,53070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1,57659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1,64076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2,49752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715117,1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495997,82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12235,80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168434,69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38448,80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871" w:type="dxa"/>
          </w:tcPr>
          <w:p w:rsidR="00FF132A" w:rsidRDefault="00FF132A">
            <w:pPr>
              <w:pStyle w:val="ConsPlusNormal"/>
              <w:jc w:val="both"/>
            </w:pPr>
            <w:r>
              <w:t>Ставка перекрестного субсидирования</w:t>
            </w:r>
          </w:p>
        </w:tc>
        <w:tc>
          <w:tcPr>
            <w:tcW w:w="79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567,47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738,81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483,98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298,24</w:t>
            </w:r>
          </w:p>
        </w:tc>
      </w:tr>
    </w:tbl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right"/>
        <w:outlineLvl w:val="1"/>
      </w:pPr>
      <w:r>
        <w:t>Таблица 1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Title"/>
        <w:jc w:val="center"/>
      </w:pPr>
      <w:r>
        <w:t>Размер</w:t>
      </w:r>
    </w:p>
    <w:p w:rsidR="00FF132A" w:rsidRDefault="00FF132A">
      <w:pPr>
        <w:pStyle w:val="ConsPlusTitle"/>
        <w:jc w:val="center"/>
      </w:pPr>
      <w:r>
        <w:t>экономически обоснованных единых (котловых) тарифов</w:t>
      </w:r>
    </w:p>
    <w:p w:rsidR="00FF132A" w:rsidRDefault="00FF132A">
      <w:pPr>
        <w:pStyle w:val="ConsPlusTitle"/>
        <w:jc w:val="center"/>
      </w:pPr>
      <w:r>
        <w:t>на услуги по передаче электрической энергии по сетям</w:t>
      </w:r>
    </w:p>
    <w:p w:rsidR="00FF132A" w:rsidRDefault="00FF132A">
      <w:pPr>
        <w:pStyle w:val="ConsPlusTitle"/>
        <w:jc w:val="center"/>
      </w:pPr>
      <w:r>
        <w:t>Чувашской Республики на 2019 год</w:t>
      </w:r>
    </w:p>
    <w:p w:rsidR="00FF132A" w:rsidRDefault="00FF1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041"/>
        <w:gridCol w:w="1564"/>
        <w:gridCol w:w="1204"/>
        <w:gridCol w:w="1144"/>
        <w:gridCol w:w="1144"/>
        <w:gridCol w:w="1144"/>
      </w:tblGrid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N</w:t>
            </w:r>
          </w:p>
          <w:p w:rsidR="00FF132A" w:rsidRDefault="00FF13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6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3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2041" w:type="dxa"/>
            <w:vMerge/>
          </w:tcPr>
          <w:p w:rsidR="00FF132A" w:rsidRDefault="00FF132A"/>
        </w:tc>
        <w:tc>
          <w:tcPr>
            <w:tcW w:w="1564" w:type="dxa"/>
            <w:vMerge/>
          </w:tcPr>
          <w:p w:rsidR="00FF132A" w:rsidRDefault="00FF132A"/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НН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41" w:type="dxa"/>
            <w:gridSpan w:val="6"/>
          </w:tcPr>
          <w:p w:rsidR="00FF132A" w:rsidRDefault="00FF132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Республике: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05" w:type="dxa"/>
            <w:gridSpan w:val="2"/>
          </w:tcPr>
          <w:p w:rsidR="00FF132A" w:rsidRDefault="00FF13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3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с 01.01.2019 по 30.06.2019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241" w:type="dxa"/>
            <w:gridSpan w:val="6"/>
          </w:tcPr>
          <w:p w:rsidR="00FF132A" w:rsidRDefault="00FF132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r>
              <w:t xml:space="preserve">- ставка за содержание </w:t>
            </w:r>
            <w:r>
              <w:lastRenderedPageBreak/>
              <w:t>электрических сетей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256361,60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356983,33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484887,78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699526,16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1.1.1.2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69,28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183,19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277,93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686,82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0,95926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0,80335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1,12157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2,09362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05" w:type="dxa"/>
            <w:gridSpan w:val="2"/>
          </w:tcPr>
          <w:p w:rsidR="00FF132A" w:rsidRDefault="00FF13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3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241" w:type="dxa"/>
            <w:gridSpan w:val="6"/>
          </w:tcPr>
          <w:p w:rsidR="00FF132A" w:rsidRDefault="00FF132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261758,73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370571,19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503267,26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723669,74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201,51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305,72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755,50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64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1,00235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0,83957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1,16893</w:t>
            </w:r>
          </w:p>
        </w:tc>
        <w:tc>
          <w:tcPr>
            <w:tcW w:w="1144" w:type="dxa"/>
          </w:tcPr>
          <w:p w:rsidR="00FF132A" w:rsidRDefault="00FF132A">
            <w:pPr>
              <w:pStyle w:val="ConsPlusNormal"/>
              <w:jc w:val="center"/>
            </w:pPr>
            <w:r>
              <w:t>2,20204</w:t>
            </w:r>
          </w:p>
        </w:tc>
      </w:tr>
    </w:tbl>
    <w:p w:rsidR="00FF132A" w:rsidRDefault="00FF1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58"/>
        <w:gridCol w:w="2041"/>
        <w:gridCol w:w="1928"/>
        <w:gridCol w:w="1134"/>
      </w:tblGrid>
      <w:tr w:rsidR="00FF132A">
        <w:tc>
          <w:tcPr>
            <w:tcW w:w="460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t>учтена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НВВ сетевых организаций без учета оплаты потерь, </w:t>
            </w:r>
            <w:proofErr w:type="gramStart"/>
            <w:r>
              <w:t>учтенная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Величина технологического расхода (потерь) электрической энергии</w:t>
            </w:r>
          </w:p>
        </w:tc>
      </w:tr>
      <w:tr w:rsidR="00FF132A">
        <w:tc>
          <w:tcPr>
            <w:tcW w:w="460" w:type="dxa"/>
            <w:vMerge/>
          </w:tcPr>
          <w:p w:rsidR="00FF132A" w:rsidRDefault="00FF132A"/>
        </w:tc>
        <w:tc>
          <w:tcPr>
            <w:tcW w:w="3458" w:type="dxa"/>
            <w:vMerge/>
          </w:tcPr>
          <w:p w:rsidR="00FF132A" w:rsidRDefault="00FF132A"/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%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Алатырские</w:t>
            </w:r>
            <w:proofErr w:type="spellEnd"/>
            <w:r>
              <w:t xml:space="preserve"> городские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38833,84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15,0099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Общество с ограниченной ответственностью </w:t>
            </w:r>
            <w:r>
              <w:lastRenderedPageBreak/>
              <w:t>"Энергостроймонтаж"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20792,16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226,59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13,1400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"ЭЛЕКТРОСНАБ"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11648,52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528,86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18,5700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"Янтарь"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16923,69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375,09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13,3697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4847,08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17,2364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Открытое акционерное общество "Российские железные дороги" (филиал </w:t>
            </w:r>
            <w:proofErr w:type="spellStart"/>
            <w:r>
              <w:t>Трансэнерго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906,71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2,6900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"Энергосеть"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5841,54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48,93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14,1002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"Устра"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6132,73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10,4000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Шумерлинские</w:t>
            </w:r>
            <w:proofErr w:type="spellEnd"/>
            <w:r>
              <w:t xml:space="preserve"> городские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46764,11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535,79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19,2500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12747,60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254,92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14,2300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4941,43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167,74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16,4012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Порецкагропромэнерго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23116,77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169,35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13,8461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"Территориальные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13624,12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6,4661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92024,45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9583,03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4,3800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"Энергия"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11493,61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181,72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13,2700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Канашские</w:t>
            </w:r>
            <w:proofErr w:type="spellEnd"/>
            <w:r>
              <w:t xml:space="preserve"> городские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45072,17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634,93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12,5984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15543,55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7,7948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"Коммунальные технологии"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336174,55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21787,12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7,5099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2482037,23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76295,14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6,8395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Теплоэнергосеть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7727,92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135,13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10,2800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Урмарские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11814,86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95,52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16,0477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"СК Олимп"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12819,57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177,02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3,4300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Электрогарант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12067,61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11,8000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Энергоактив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12007,05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7,5655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4897,82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7,5000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6826,57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7,0900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"Моргаушское"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4130,77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104,84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9,9546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Сетьсервис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20290,39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10,4954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10653,14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5,1399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Общество с ограниченной ответственностью "НЭСК"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12783,73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7,0000</w:t>
            </w:r>
          </w:p>
        </w:tc>
      </w:tr>
      <w:tr w:rsidR="00FF132A">
        <w:tc>
          <w:tcPr>
            <w:tcW w:w="460" w:type="dxa"/>
          </w:tcPr>
          <w:p w:rsidR="00FF132A" w:rsidRDefault="00FF13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58" w:type="dxa"/>
          </w:tcPr>
          <w:p w:rsidR="00FF132A" w:rsidRDefault="00FF132A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3942,32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  <w:jc w:val="center"/>
            </w:pPr>
            <w:r>
              <w:t>4,8600</w:t>
            </w:r>
          </w:p>
        </w:tc>
      </w:tr>
      <w:tr w:rsidR="00FF132A">
        <w:tc>
          <w:tcPr>
            <w:tcW w:w="3918" w:type="dxa"/>
            <w:gridSpan w:val="2"/>
          </w:tcPr>
          <w:p w:rsidR="00FF132A" w:rsidRDefault="00FF132A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2041" w:type="dxa"/>
          </w:tcPr>
          <w:p w:rsidR="00FF132A" w:rsidRDefault="00FF132A">
            <w:pPr>
              <w:pStyle w:val="ConsPlusNormal"/>
              <w:jc w:val="center"/>
            </w:pPr>
            <w:r>
              <w:t>3309427,61</w:t>
            </w:r>
          </w:p>
        </w:tc>
        <w:tc>
          <w:tcPr>
            <w:tcW w:w="1928" w:type="dxa"/>
          </w:tcPr>
          <w:p w:rsidR="00FF132A" w:rsidRDefault="00FF132A">
            <w:pPr>
              <w:pStyle w:val="ConsPlusNormal"/>
              <w:jc w:val="center"/>
            </w:pPr>
            <w:r>
              <w:t>112095,21</w:t>
            </w:r>
          </w:p>
        </w:tc>
        <w:tc>
          <w:tcPr>
            <w:tcW w:w="1134" w:type="dxa"/>
          </w:tcPr>
          <w:p w:rsidR="00FF132A" w:rsidRDefault="00FF132A">
            <w:pPr>
              <w:pStyle w:val="ConsPlusNormal"/>
            </w:pPr>
          </w:p>
        </w:tc>
      </w:tr>
    </w:tbl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right"/>
        <w:outlineLvl w:val="1"/>
      </w:pPr>
      <w:r>
        <w:t>Таблица 2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Title"/>
        <w:jc w:val="center"/>
      </w:pPr>
      <w:r>
        <w:t>Показатели</w:t>
      </w:r>
    </w:p>
    <w:p w:rsidR="00FF132A" w:rsidRDefault="00FF132A">
      <w:pPr>
        <w:pStyle w:val="ConsPlusTitle"/>
        <w:jc w:val="center"/>
      </w:pPr>
      <w:r>
        <w:t>для целей расчета единых (котловых) тарифов</w:t>
      </w:r>
    </w:p>
    <w:p w:rsidR="00FF132A" w:rsidRDefault="00FF132A">
      <w:pPr>
        <w:pStyle w:val="ConsPlusTitle"/>
        <w:jc w:val="center"/>
      </w:pPr>
      <w:r>
        <w:t>на услуги по передаче электрической энергии по сетям</w:t>
      </w:r>
    </w:p>
    <w:p w:rsidR="00FF132A" w:rsidRDefault="00FF132A">
      <w:pPr>
        <w:pStyle w:val="ConsPlusTitle"/>
        <w:jc w:val="center"/>
      </w:pPr>
      <w:r>
        <w:t>Чувашской Республики на 2019 год</w:t>
      </w:r>
    </w:p>
    <w:p w:rsidR="00FF132A" w:rsidRDefault="00FF132A">
      <w:pPr>
        <w:pStyle w:val="ConsPlusNormal"/>
        <w:jc w:val="both"/>
      </w:pPr>
    </w:p>
    <w:p w:rsidR="00FF132A" w:rsidRDefault="00FF132A">
      <w:pPr>
        <w:sectPr w:rsidR="00FF132A" w:rsidSect="007D2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92"/>
        <w:gridCol w:w="1216"/>
        <w:gridCol w:w="904"/>
        <w:gridCol w:w="784"/>
        <w:gridCol w:w="904"/>
        <w:gridCol w:w="904"/>
        <w:gridCol w:w="904"/>
        <w:gridCol w:w="784"/>
        <w:gridCol w:w="904"/>
        <w:gridCol w:w="904"/>
      </w:tblGrid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N</w:t>
            </w:r>
          </w:p>
          <w:p w:rsidR="00FF132A" w:rsidRDefault="00FF13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9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49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  <w:vMerge/>
          </w:tcPr>
          <w:p w:rsidR="00FF132A" w:rsidRDefault="00FF132A"/>
        </w:tc>
        <w:tc>
          <w:tcPr>
            <w:tcW w:w="1216" w:type="dxa"/>
            <w:vMerge/>
          </w:tcPr>
          <w:p w:rsidR="00FF132A" w:rsidRDefault="00FF132A"/>
        </w:tc>
        <w:tc>
          <w:tcPr>
            <w:tcW w:w="349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496" w:type="dxa"/>
            <w:gridSpan w:val="4"/>
          </w:tcPr>
          <w:p w:rsidR="00FF132A" w:rsidRDefault="00FF132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  <w:vMerge/>
          </w:tcPr>
          <w:p w:rsidR="00FF132A" w:rsidRDefault="00FF132A"/>
        </w:tc>
        <w:tc>
          <w:tcPr>
            <w:tcW w:w="1216" w:type="dxa"/>
            <w:vMerge/>
          </w:tcPr>
          <w:p w:rsidR="00FF132A" w:rsidRDefault="00FF132A"/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НН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F132A" w:rsidRDefault="00FF132A">
            <w:pPr>
              <w:pStyle w:val="ConsPlusNormal"/>
            </w:pP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11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</w:pP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859,882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16,952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378,636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608,873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876,344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16,849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377,530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574,045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пунктах 1.1.2 и 1.1.3: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</w:pP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>
              <w:lastRenderedPageBreak/>
              <w:t>показаниям общего прибора учета электрической энергии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17,751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233,020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15,511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221,281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</w:pP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</w:pP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3,693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30,517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3,693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28,880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 xml:space="preserve">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</w:pP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211,42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2,590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191,530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1178: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</w:pP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3,103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0,287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3,706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0,526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1,717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1,669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1,907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0,821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0,923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0,714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-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1,706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1,269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1,370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потребителям, не </w:t>
            </w:r>
            <w:r>
              <w:lastRenderedPageBreak/>
              <w:t>относящимся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857,557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16,652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346,57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129,538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874,045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16,562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348,022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128,921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109,80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314,63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107,92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191,24</w:t>
            </w:r>
          </w:p>
        </w:tc>
      </w:tr>
      <w:tr w:rsidR="00FF132A">
        <w:tc>
          <w:tcPr>
            <w:tcW w:w="784" w:type="dxa"/>
            <w:vMerge w:val="restart"/>
          </w:tcPr>
          <w:p w:rsidR="00FF132A" w:rsidRDefault="00FF13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800" w:type="dxa"/>
            <w:gridSpan w:val="10"/>
          </w:tcPr>
          <w:p w:rsidR="00FF132A" w:rsidRDefault="00FF132A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FF132A">
        <w:tc>
          <w:tcPr>
            <w:tcW w:w="784" w:type="dxa"/>
            <w:vMerge/>
          </w:tcPr>
          <w:p w:rsidR="00FF132A" w:rsidRDefault="00FF132A"/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159,778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9,836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148,375</w:t>
            </w:r>
          </w:p>
        </w:tc>
      </w:tr>
      <w:tr w:rsidR="00FF132A"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FF132A" w:rsidRDefault="00FF132A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99,11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313,87</w:t>
            </w:r>
          </w:p>
        </w:tc>
        <w:tc>
          <w:tcPr>
            <w:tcW w:w="784" w:type="dxa"/>
          </w:tcPr>
          <w:p w:rsidR="00FF132A" w:rsidRDefault="00FF132A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98,09</w:t>
            </w:r>
          </w:p>
        </w:tc>
        <w:tc>
          <w:tcPr>
            <w:tcW w:w="904" w:type="dxa"/>
          </w:tcPr>
          <w:p w:rsidR="00FF132A" w:rsidRDefault="00FF132A">
            <w:pPr>
              <w:pStyle w:val="ConsPlusNormal"/>
              <w:jc w:val="center"/>
            </w:pPr>
            <w:r>
              <w:t>42,87</w:t>
            </w:r>
          </w:p>
        </w:tc>
      </w:tr>
    </w:tbl>
    <w:p w:rsidR="00FF132A" w:rsidRDefault="00FF132A">
      <w:pPr>
        <w:sectPr w:rsidR="00FF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right"/>
        <w:outlineLvl w:val="0"/>
      </w:pPr>
      <w:r>
        <w:t>Приложение N 2</w:t>
      </w:r>
    </w:p>
    <w:p w:rsidR="00FF132A" w:rsidRDefault="00FF132A">
      <w:pPr>
        <w:pStyle w:val="ConsPlusNormal"/>
        <w:jc w:val="right"/>
      </w:pPr>
      <w:r>
        <w:t>к постановлению</w:t>
      </w:r>
    </w:p>
    <w:p w:rsidR="00FF132A" w:rsidRDefault="00FF132A">
      <w:pPr>
        <w:pStyle w:val="ConsPlusNormal"/>
        <w:jc w:val="right"/>
      </w:pPr>
      <w:r>
        <w:t>Государственной службы</w:t>
      </w:r>
    </w:p>
    <w:p w:rsidR="00FF132A" w:rsidRDefault="00FF132A">
      <w:pPr>
        <w:pStyle w:val="ConsPlusNormal"/>
        <w:jc w:val="right"/>
      </w:pPr>
      <w:r>
        <w:t>Чувашской Республики</w:t>
      </w:r>
    </w:p>
    <w:p w:rsidR="00FF132A" w:rsidRDefault="00FF132A">
      <w:pPr>
        <w:pStyle w:val="ConsPlusNormal"/>
        <w:jc w:val="right"/>
      </w:pPr>
      <w:r>
        <w:t>по конкурентной политике и тарифам</w:t>
      </w:r>
    </w:p>
    <w:p w:rsidR="00FF132A" w:rsidRDefault="00FF132A">
      <w:pPr>
        <w:pStyle w:val="ConsPlusNormal"/>
        <w:jc w:val="right"/>
      </w:pPr>
      <w:r>
        <w:t>от 26.12.2018 N 164-35/э</w:t>
      </w: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Title"/>
        <w:jc w:val="center"/>
      </w:pPr>
      <w:bookmarkStart w:id="1" w:name="P610"/>
      <w:bookmarkEnd w:id="1"/>
      <w:r>
        <w:t>ЕДИНЫЕ (КОТЛОВЫЕ) ТАРИФЫ</w:t>
      </w:r>
    </w:p>
    <w:p w:rsidR="00FF132A" w:rsidRDefault="00FF132A">
      <w:pPr>
        <w:pStyle w:val="ConsPlusTitle"/>
        <w:jc w:val="center"/>
      </w:pPr>
      <w:r>
        <w:t>НА УСЛУГИ ПО ПЕРЕДАЧЕ ЭЛЕКТРИЧЕСКОЙ ЭНЕРГИИ ПО СЕТЯМ</w:t>
      </w:r>
    </w:p>
    <w:p w:rsidR="00FF132A" w:rsidRDefault="00FF132A">
      <w:pPr>
        <w:pStyle w:val="ConsPlusTitle"/>
        <w:jc w:val="center"/>
      </w:pPr>
      <w:r>
        <w:t xml:space="preserve">ЧУВАШСКОЙ РЕСПУБЛИКИ, ПОСТАВЛЯЕМОЙ НАСЕЛЕНИЮ И </w:t>
      </w:r>
      <w:proofErr w:type="gramStart"/>
      <w:r>
        <w:t>ПРИРАВНЕННЫМ</w:t>
      </w:r>
      <w:proofErr w:type="gramEnd"/>
    </w:p>
    <w:p w:rsidR="00FF132A" w:rsidRDefault="00FF132A">
      <w:pPr>
        <w:pStyle w:val="ConsPlusTitle"/>
        <w:jc w:val="center"/>
      </w:pPr>
      <w:r>
        <w:t>К НЕМУ КАТЕГОРИЯМ ПОТРЕБИТЕЛЕЙ, НА 2019 ГОД</w:t>
      </w:r>
    </w:p>
    <w:p w:rsidR="00FF132A" w:rsidRDefault="00FF1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819"/>
        <w:gridCol w:w="1216"/>
        <w:gridCol w:w="1204"/>
        <w:gridCol w:w="1204"/>
      </w:tblGrid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N</w:t>
            </w:r>
          </w:p>
          <w:p w:rsidR="00FF132A" w:rsidRDefault="00FF13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5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3" w:type="dxa"/>
            <w:gridSpan w:val="4"/>
            <w:tcBorders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641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654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 xml:space="preserve">населению и приравненным к нему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1,09235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1,04007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bookmarkStart w:id="2" w:name="P641"/>
            <w:bookmarkEnd w:id="2"/>
            <w:r>
              <w:t>1.2</w:t>
            </w:r>
          </w:p>
        </w:tc>
        <w:tc>
          <w:tcPr>
            <w:tcW w:w="8443" w:type="dxa"/>
            <w:gridSpan w:val="4"/>
            <w:tcBorders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0,27286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0,20013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bookmarkStart w:id="3" w:name="P654"/>
            <w:bookmarkEnd w:id="3"/>
            <w:r>
              <w:t>1.3</w:t>
            </w:r>
          </w:p>
        </w:tc>
        <w:tc>
          <w:tcPr>
            <w:tcW w:w="8443" w:type="dxa"/>
            <w:gridSpan w:val="4"/>
            <w:tcBorders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</w:t>
            </w:r>
            <w:r>
              <w:lastRenderedPageBreak/>
              <w:t>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F132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8443" w:type="dxa"/>
            <w:gridSpan w:val="4"/>
            <w:tcBorders>
              <w:top w:val="nil"/>
            </w:tcBorders>
          </w:tcPr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0,27262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0,19992</w:t>
            </w:r>
          </w:p>
        </w:tc>
      </w:tr>
      <w:tr w:rsidR="00FF132A">
        <w:tc>
          <w:tcPr>
            <w:tcW w:w="604" w:type="dxa"/>
          </w:tcPr>
          <w:p w:rsidR="00FF132A" w:rsidRDefault="00FF13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1178:</w:t>
            </w:r>
          </w:p>
        </w:tc>
      </w:tr>
      <w:tr w:rsidR="00FF132A"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1,09318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1,04133</w:t>
            </w:r>
          </w:p>
        </w:tc>
      </w:tr>
      <w:tr w:rsidR="00FF132A"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1,09318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1,04133</w:t>
            </w:r>
          </w:p>
        </w:tc>
      </w:tr>
      <w:tr w:rsidR="00FF132A"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1,09318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1,04133</w:t>
            </w:r>
          </w:p>
        </w:tc>
      </w:tr>
      <w:tr w:rsidR="00FF132A">
        <w:tc>
          <w:tcPr>
            <w:tcW w:w="604" w:type="dxa"/>
            <w:tcBorders>
              <w:bottom w:val="nil"/>
            </w:tcBorders>
          </w:tcPr>
          <w:p w:rsidR="00FF132A" w:rsidRDefault="00FF132A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443" w:type="dxa"/>
            <w:gridSpan w:val="4"/>
          </w:tcPr>
          <w:p w:rsidR="00FF132A" w:rsidRDefault="00FF132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F132A" w:rsidRDefault="00FF132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FF132A">
        <w:tc>
          <w:tcPr>
            <w:tcW w:w="604" w:type="dxa"/>
            <w:tcBorders>
              <w:top w:val="nil"/>
            </w:tcBorders>
          </w:tcPr>
          <w:p w:rsidR="00FF132A" w:rsidRDefault="00FF132A">
            <w:pPr>
              <w:pStyle w:val="ConsPlusNormal"/>
            </w:pPr>
          </w:p>
        </w:tc>
        <w:tc>
          <w:tcPr>
            <w:tcW w:w="4819" w:type="dxa"/>
          </w:tcPr>
          <w:p w:rsidR="00FF132A" w:rsidRDefault="00FF132A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6" w:type="dxa"/>
          </w:tcPr>
          <w:p w:rsidR="00FF132A" w:rsidRDefault="00FF132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1,09318</w:t>
            </w:r>
          </w:p>
        </w:tc>
        <w:tc>
          <w:tcPr>
            <w:tcW w:w="1204" w:type="dxa"/>
          </w:tcPr>
          <w:p w:rsidR="00FF132A" w:rsidRDefault="00FF132A">
            <w:pPr>
              <w:pStyle w:val="ConsPlusNormal"/>
              <w:jc w:val="center"/>
            </w:pPr>
            <w:r>
              <w:t>1,04133</w:t>
            </w:r>
          </w:p>
        </w:tc>
      </w:tr>
    </w:tbl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ind w:firstLine="540"/>
        <w:jc w:val="both"/>
      </w:pPr>
      <w:r>
        <w:t>--------------------------------</w:t>
      </w:r>
    </w:p>
    <w:p w:rsidR="00FF132A" w:rsidRDefault="00FF132A">
      <w:pPr>
        <w:pStyle w:val="ConsPlusNormal"/>
        <w:spacing w:before="220"/>
        <w:ind w:firstLine="540"/>
        <w:jc w:val="both"/>
      </w:pPr>
      <w:bookmarkStart w:id="4" w:name="P703"/>
      <w:bookmarkEnd w:id="4"/>
      <w:proofErr w:type="gramStart"/>
      <w:r>
        <w:t xml:space="preserve">&lt;*&gt;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jc w:val="both"/>
      </w:pPr>
    </w:p>
    <w:p w:rsidR="00FF132A" w:rsidRDefault="00FF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5" w:name="_GoBack"/>
      <w:bookmarkEnd w:id="5"/>
    </w:p>
    <w:sectPr w:rsidR="00C336DB" w:rsidSect="00D010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A"/>
    <w:rsid w:val="007A5599"/>
    <w:rsid w:val="00C336DB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72ABC2AEDC8CB74A1147502E8E2617ED0A27071A4039CE18AAE0F4D1E4C01A9F26462DEE51648F099C435BF41EBE356O0Z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572ABC2AEDC8CB74A10A781484BC6575DFFE7C72A600C3B9DEA858124E4A54E9B262378FA14245F1958E65FB0AE4E153194014412C88B0O6Z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72ABC2AEDC8CB74A10A781484BC6575DFFE7D74A600C3B9DEA858124E4A54FBB23A3B8DA65D44F280D834BDO5ZFF" TargetMode="External"/><Relationship Id="rId11" Type="http://schemas.openxmlformats.org/officeDocument/2006/relationships/hyperlink" Target="consultantplus://offline/ref=CA572ABC2AEDC8CB74A10A781484BC6575DFFE7C72A600C3B9DEA858124E4A54E9B2623787A14811A3DA8F39BD58F7E2541943145DO2Z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572ABC2AEDC8CB74A10A781484BC6575DFFE7C72A600C3B9DEA858124E4A54E9B2623787A14811A3DA8F39BD58F7E2541943145DO2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72ABC2AEDC8CB74A1147502E8E2617ED0A27071A50B96E583AE0F4D1E4C01A9F26462DEE51648F099C435BF41EBE356O0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2020-10-27T05:25:00Z</dcterms:created>
  <dcterms:modified xsi:type="dcterms:W3CDTF">2020-10-27T05:26:00Z</dcterms:modified>
</cp:coreProperties>
</file>