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81" w:rsidRPr="00E37B81" w:rsidRDefault="00E37B81" w:rsidP="00E37B81">
      <w:pPr>
        <w:spacing w:after="0" w:line="240" w:lineRule="auto"/>
        <w:jc w:val="center"/>
        <w:rPr>
          <w:rFonts w:ascii="Verdana" w:eastAsia="Times New Roman" w:hAnsi="Verdana" w:cs="Times New Roman"/>
          <w:b/>
          <w:bCs/>
          <w:sz w:val="21"/>
          <w:szCs w:val="21"/>
          <w:lang w:eastAsia="ru-RU"/>
        </w:rPr>
      </w:pPr>
      <w:bookmarkStart w:id="0" w:name="_GoBack"/>
      <w:bookmarkEnd w:id="0"/>
      <w:r w:rsidRPr="00E37B81">
        <w:rPr>
          <w:rFonts w:ascii="Arial" w:eastAsia="Times New Roman" w:hAnsi="Arial" w:cs="Arial"/>
          <w:b/>
          <w:bCs/>
          <w:sz w:val="24"/>
          <w:szCs w:val="24"/>
          <w:lang w:eastAsia="ru-RU"/>
        </w:rPr>
        <w:t>МИНИСТЕРСТВО ФИНАНСОВ РОССИЙСКОЙ ФЕДЕРАЦИИ</w:t>
      </w:r>
    </w:p>
    <w:p w:rsidR="00E37B81" w:rsidRPr="00E37B81" w:rsidRDefault="00E37B81" w:rsidP="00E37B81">
      <w:pPr>
        <w:spacing w:after="0" w:line="240" w:lineRule="auto"/>
        <w:jc w:val="center"/>
        <w:rPr>
          <w:rFonts w:ascii="Verdana" w:eastAsia="Times New Roman" w:hAnsi="Verdana" w:cs="Times New Roman"/>
          <w:b/>
          <w:bCs/>
          <w:sz w:val="21"/>
          <w:szCs w:val="21"/>
          <w:lang w:eastAsia="ru-RU"/>
        </w:rPr>
      </w:pPr>
      <w:r w:rsidRPr="00E37B81">
        <w:rPr>
          <w:rFonts w:ascii="Arial" w:eastAsia="Times New Roman" w:hAnsi="Arial" w:cs="Arial"/>
          <w:b/>
          <w:bCs/>
          <w:sz w:val="24"/>
          <w:szCs w:val="24"/>
          <w:lang w:eastAsia="ru-RU"/>
        </w:rPr>
        <w:t> </w:t>
      </w:r>
    </w:p>
    <w:p w:rsidR="00E37B81" w:rsidRPr="00E37B81" w:rsidRDefault="00E37B81" w:rsidP="00E37B81">
      <w:pPr>
        <w:spacing w:after="0" w:line="240" w:lineRule="auto"/>
        <w:jc w:val="center"/>
        <w:rPr>
          <w:rFonts w:ascii="Verdana" w:eastAsia="Times New Roman" w:hAnsi="Verdana" w:cs="Times New Roman"/>
          <w:b/>
          <w:bCs/>
          <w:sz w:val="21"/>
          <w:szCs w:val="21"/>
          <w:lang w:eastAsia="ru-RU"/>
        </w:rPr>
      </w:pPr>
      <w:r w:rsidRPr="00E37B81">
        <w:rPr>
          <w:rFonts w:ascii="Arial" w:eastAsia="Times New Roman" w:hAnsi="Arial" w:cs="Arial"/>
          <w:b/>
          <w:bCs/>
          <w:sz w:val="24"/>
          <w:szCs w:val="24"/>
          <w:lang w:eastAsia="ru-RU"/>
        </w:rPr>
        <w:t>ПИСЬМО</w:t>
      </w:r>
    </w:p>
    <w:p w:rsidR="00E37B81" w:rsidRPr="00E37B81" w:rsidRDefault="00E37B81" w:rsidP="00E37B81">
      <w:pPr>
        <w:spacing w:after="0" w:line="240" w:lineRule="auto"/>
        <w:jc w:val="center"/>
        <w:rPr>
          <w:rFonts w:ascii="Verdana" w:eastAsia="Times New Roman" w:hAnsi="Verdana" w:cs="Times New Roman"/>
          <w:b/>
          <w:bCs/>
          <w:sz w:val="21"/>
          <w:szCs w:val="21"/>
          <w:lang w:eastAsia="ru-RU"/>
        </w:rPr>
      </w:pPr>
      <w:r w:rsidRPr="00E37B81">
        <w:rPr>
          <w:rFonts w:ascii="Arial" w:eastAsia="Times New Roman" w:hAnsi="Arial" w:cs="Arial"/>
          <w:b/>
          <w:bCs/>
          <w:sz w:val="24"/>
          <w:szCs w:val="24"/>
          <w:lang w:eastAsia="ru-RU"/>
        </w:rPr>
        <w:t>от 11 марта 2020 г. N 24-03-07/18298</w:t>
      </w:r>
    </w:p>
    <w:p w:rsidR="00E37B81" w:rsidRPr="00E37B81" w:rsidRDefault="00E37B81" w:rsidP="00E37B81">
      <w:pPr>
        <w:spacing w:after="0" w:line="240" w:lineRule="auto"/>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 </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ГБУ по вопросам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порядка уменьшения и удержания обеспечения исполнения контракта, сообщает следующее.</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Вместе с тем в части порядка уменьшения обеспечения исполнения контракта полагаем необходимым отметить, что в соответствии с частью 7 статьи 96 Закона N 44-ФЗ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указанной статьи.</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Частью 7.2 статьи 96 Закона N 44-ФЗ установлено, что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N 44-ФЗ.</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N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lastRenderedPageBreak/>
        <w:t>Частью 27 статьи 34 Закона N 44-ФЗ предусмотрено, что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Закона N 44-ФЗ.</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Закона N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Таким образом, в случае если обеспечение исполнения контракта осуществляется путем внесения денежных средств, по заявлению поставщика (подрядчика, исполнителя) ему возвращаются заказчиком в установленный с учетом требований части 27 статьи 34 Закона N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В части удержания средств, предоставленных в качестве обеспечения исполнения контракта, отмечаем, что согласно части 1 статьи 2 Закона N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(далее - ГК РФ), Бюджетного кодекса Российской Федерации (далее - БК РФ) и состоит из Закона N 44-ФЗ и других федеральных законов, регулирующих отношения, указанные в части 1 статьи 1 Закона N 44-ФЗ.</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Согласно части 4 статьи 34 Закона N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В соответствии с частью 6 статьи 34 Закона N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Таким образом, исходя из системного толкования положений Закона N 44-ФЗ заказчик обязан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 предусмотренного государственным контрактом.</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При этом следует отметить, что заказчик вправе производить оплату по контракту за вычетом соответствующего размера неустойки (штрафа, пени) или вправе вернуть обеспечение исполнения контракта, уменьшенное на размер начисленных штрафов, пеней.</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lastRenderedPageBreak/>
        <w:t>Департамент отмечает, что в соответствии с позицией Верховного Суда Российской Федерации, утвержденной Президиумом Верховного Суда Российской Федерации от 28 июня 2017 г. в обзоре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исполнения контракта с просрочкой обеспечительный платеж удерживается заказчиком в размере, равном размеру имущественных требований заказчика к поставщику (подрядчику, исполнителю), если иное не предусмотрено контрактом.</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Учитывая изложенное, порядок удержания и возврата денежных средств, внесенных поставщиком (подрядчиком, исполнителем) в качестве обеспечения исполнения контракта, определяется в соответствии с документацией о закупке, контрактом и ГК РФ.</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Вместе с тем Департамент обращает внимание, что согласно положениям статьи 41 БК РФ средства от применения мер гражданско-правовой ответственности относятся к неналоговым доходам бюджетов бюджетной системы Российской Федерации.</w:t>
      </w:r>
    </w:p>
    <w:p w:rsidR="00E37B81" w:rsidRPr="00E37B81" w:rsidRDefault="00E37B81" w:rsidP="00E37B81">
      <w:pPr>
        <w:spacing w:after="0" w:line="240" w:lineRule="auto"/>
        <w:ind w:firstLine="540"/>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При этом платежи, являющиеся источниками формирования доходов бюджетов бюджетной системы Российской Федерации, согласно нормам статьи 40 БК РФ, зачисляются на счета органов Федерального казначейства для их распределения этими органами в соответствии с установленными нормативами между бюджетами бюджетной системы Российской Федерации.</w:t>
      </w:r>
    </w:p>
    <w:p w:rsidR="00E37B81" w:rsidRPr="00E37B81" w:rsidRDefault="00E37B81" w:rsidP="00E37B81">
      <w:pPr>
        <w:spacing w:after="0" w:line="240" w:lineRule="auto"/>
        <w:jc w:val="both"/>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 </w:t>
      </w:r>
    </w:p>
    <w:p w:rsidR="00E37B81" w:rsidRPr="00E37B81" w:rsidRDefault="00E37B81" w:rsidP="00E37B81">
      <w:pPr>
        <w:spacing w:after="0" w:line="240" w:lineRule="auto"/>
        <w:jc w:val="right"/>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Заместитель директора Департамента</w:t>
      </w:r>
    </w:p>
    <w:p w:rsidR="00E37B81" w:rsidRPr="00E37B81" w:rsidRDefault="00E37B81" w:rsidP="00E37B81">
      <w:pPr>
        <w:spacing w:after="0" w:line="240" w:lineRule="auto"/>
        <w:jc w:val="right"/>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Д.А.ГОТОВЦЕВ</w:t>
      </w:r>
    </w:p>
    <w:p w:rsidR="00E37B81" w:rsidRPr="00E37B81" w:rsidRDefault="00E37B81" w:rsidP="00E37B81">
      <w:pPr>
        <w:spacing w:after="0" w:line="240" w:lineRule="auto"/>
        <w:rPr>
          <w:rFonts w:ascii="Verdana" w:eastAsia="Times New Roman" w:hAnsi="Verdana" w:cs="Times New Roman"/>
          <w:sz w:val="21"/>
          <w:szCs w:val="21"/>
          <w:lang w:eastAsia="ru-RU"/>
        </w:rPr>
      </w:pPr>
      <w:r w:rsidRPr="00E37B81">
        <w:rPr>
          <w:rFonts w:ascii="Times New Roman" w:eastAsia="Times New Roman" w:hAnsi="Times New Roman" w:cs="Times New Roman"/>
          <w:sz w:val="24"/>
          <w:szCs w:val="24"/>
          <w:lang w:eastAsia="ru-RU"/>
        </w:rPr>
        <w:t>11.03.2020</w:t>
      </w:r>
    </w:p>
    <w:p w:rsidR="00FA1037" w:rsidRPr="00FA1037" w:rsidRDefault="00FA1037" w:rsidP="00FA1037">
      <w:pPr>
        <w:spacing w:after="0" w:line="240" w:lineRule="auto"/>
        <w:jc w:val="right"/>
        <w:rPr>
          <w:rFonts w:ascii="Verdana" w:eastAsia="Times New Roman" w:hAnsi="Verdana" w:cs="Times New Roman"/>
          <w:sz w:val="21"/>
          <w:szCs w:val="21"/>
          <w:lang w:eastAsia="ru-RU"/>
        </w:rPr>
      </w:pPr>
      <w:r w:rsidRPr="00FA1037">
        <w:rPr>
          <w:rFonts w:ascii="Times New Roman" w:eastAsia="Times New Roman" w:hAnsi="Times New Roman" w:cs="Times New Roman"/>
          <w:sz w:val="24"/>
          <w:szCs w:val="24"/>
          <w:lang w:eastAsia="ru-RU"/>
        </w:rPr>
        <w:t>Заместитель директора Департамента</w:t>
      </w:r>
    </w:p>
    <w:p w:rsidR="00B01B94" w:rsidRPr="00AA62EF" w:rsidRDefault="00B01B94" w:rsidP="00AA62EF"/>
    <w:sectPr w:rsidR="00B01B94" w:rsidRPr="00AA62EF" w:rsidSect="00B0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2E"/>
    <w:rsid w:val="0002412E"/>
    <w:rsid w:val="000778FE"/>
    <w:rsid w:val="002833AD"/>
    <w:rsid w:val="003636AE"/>
    <w:rsid w:val="00433C1D"/>
    <w:rsid w:val="00490505"/>
    <w:rsid w:val="00632B03"/>
    <w:rsid w:val="008D6D24"/>
    <w:rsid w:val="009E1445"/>
    <w:rsid w:val="00AA62EF"/>
    <w:rsid w:val="00B01B94"/>
    <w:rsid w:val="00C218A4"/>
    <w:rsid w:val="00CA706B"/>
    <w:rsid w:val="00CB7271"/>
    <w:rsid w:val="00D11565"/>
    <w:rsid w:val="00E37B81"/>
    <w:rsid w:val="00ED7F6D"/>
    <w:rsid w:val="00F939C1"/>
    <w:rsid w:val="00FA1037"/>
    <w:rsid w:val="00FB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1300">
      <w:bodyDiv w:val="1"/>
      <w:marLeft w:val="0"/>
      <w:marRight w:val="0"/>
      <w:marTop w:val="0"/>
      <w:marBottom w:val="0"/>
      <w:divBdr>
        <w:top w:val="none" w:sz="0" w:space="0" w:color="auto"/>
        <w:left w:val="none" w:sz="0" w:space="0" w:color="auto"/>
        <w:bottom w:val="none" w:sz="0" w:space="0" w:color="auto"/>
        <w:right w:val="none" w:sz="0" w:space="0" w:color="auto"/>
      </w:divBdr>
      <w:divsChild>
        <w:div w:id="1100876904">
          <w:marLeft w:val="0"/>
          <w:marRight w:val="0"/>
          <w:marTop w:val="0"/>
          <w:marBottom w:val="0"/>
          <w:divBdr>
            <w:top w:val="none" w:sz="0" w:space="0" w:color="auto"/>
            <w:left w:val="none" w:sz="0" w:space="0" w:color="auto"/>
            <w:bottom w:val="none" w:sz="0" w:space="0" w:color="auto"/>
            <w:right w:val="none" w:sz="0" w:space="0" w:color="auto"/>
          </w:divBdr>
        </w:div>
      </w:divsChild>
    </w:div>
    <w:div w:id="212619759">
      <w:bodyDiv w:val="1"/>
      <w:marLeft w:val="0"/>
      <w:marRight w:val="0"/>
      <w:marTop w:val="0"/>
      <w:marBottom w:val="0"/>
      <w:divBdr>
        <w:top w:val="none" w:sz="0" w:space="0" w:color="auto"/>
        <w:left w:val="none" w:sz="0" w:space="0" w:color="auto"/>
        <w:bottom w:val="none" w:sz="0" w:space="0" w:color="auto"/>
        <w:right w:val="none" w:sz="0" w:space="0" w:color="auto"/>
      </w:divBdr>
      <w:divsChild>
        <w:div w:id="137502993">
          <w:marLeft w:val="0"/>
          <w:marRight w:val="0"/>
          <w:marTop w:val="0"/>
          <w:marBottom w:val="0"/>
          <w:divBdr>
            <w:top w:val="none" w:sz="0" w:space="0" w:color="auto"/>
            <w:left w:val="none" w:sz="0" w:space="0" w:color="auto"/>
            <w:bottom w:val="none" w:sz="0" w:space="0" w:color="auto"/>
            <w:right w:val="none" w:sz="0" w:space="0" w:color="auto"/>
          </w:divBdr>
        </w:div>
      </w:divsChild>
    </w:div>
    <w:div w:id="274677989">
      <w:bodyDiv w:val="1"/>
      <w:marLeft w:val="0"/>
      <w:marRight w:val="0"/>
      <w:marTop w:val="0"/>
      <w:marBottom w:val="0"/>
      <w:divBdr>
        <w:top w:val="none" w:sz="0" w:space="0" w:color="auto"/>
        <w:left w:val="none" w:sz="0" w:space="0" w:color="auto"/>
        <w:bottom w:val="none" w:sz="0" w:space="0" w:color="auto"/>
        <w:right w:val="none" w:sz="0" w:space="0" w:color="auto"/>
      </w:divBdr>
      <w:divsChild>
        <w:div w:id="963119368">
          <w:marLeft w:val="0"/>
          <w:marRight w:val="0"/>
          <w:marTop w:val="0"/>
          <w:marBottom w:val="0"/>
          <w:divBdr>
            <w:top w:val="none" w:sz="0" w:space="0" w:color="auto"/>
            <w:left w:val="none" w:sz="0" w:space="0" w:color="auto"/>
            <w:bottom w:val="none" w:sz="0" w:space="0" w:color="auto"/>
            <w:right w:val="none" w:sz="0" w:space="0" w:color="auto"/>
          </w:divBdr>
        </w:div>
      </w:divsChild>
    </w:div>
    <w:div w:id="317349620">
      <w:bodyDiv w:val="1"/>
      <w:marLeft w:val="0"/>
      <w:marRight w:val="0"/>
      <w:marTop w:val="0"/>
      <w:marBottom w:val="0"/>
      <w:divBdr>
        <w:top w:val="none" w:sz="0" w:space="0" w:color="auto"/>
        <w:left w:val="none" w:sz="0" w:space="0" w:color="auto"/>
        <w:bottom w:val="none" w:sz="0" w:space="0" w:color="auto"/>
        <w:right w:val="none" w:sz="0" w:space="0" w:color="auto"/>
      </w:divBdr>
      <w:divsChild>
        <w:div w:id="1377508635">
          <w:marLeft w:val="0"/>
          <w:marRight w:val="0"/>
          <w:marTop w:val="0"/>
          <w:marBottom w:val="0"/>
          <w:divBdr>
            <w:top w:val="none" w:sz="0" w:space="0" w:color="auto"/>
            <w:left w:val="none" w:sz="0" w:space="0" w:color="auto"/>
            <w:bottom w:val="none" w:sz="0" w:space="0" w:color="auto"/>
            <w:right w:val="none" w:sz="0" w:space="0" w:color="auto"/>
          </w:divBdr>
        </w:div>
      </w:divsChild>
    </w:div>
    <w:div w:id="500237824">
      <w:bodyDiv w:val="1"/>
      <w:marLeft w:val="0"/>
      <w:marRight w:val="0"/>
      <w:marTop w:val="0"/>
      <w:marBottom w:val="0"/>
      <w:divBdr>
        <w:top w:val="none" w:sz="0" w:space="0" w:color="auto"/>
        <w:left w:val="none" w:sz="0" w:space="0" w:color="auto"/>
        <w:bottom w:val="none" w:sz="0" w:space="0" w:color="auto"/>
        <w:right w:val="none" w:sz="0" w:space="0" w:color="auto"/>
      </w:divBdr>
      <w:divsChild>
        <w:div w:id="1960137901">
          <w:marLeft w:val="0"/>
          <w:marRight w:val="0"/>
          <w:marTop w:val="0"/>
          <w:marBottom w:val="0"/>
          <w:divBdr>
            <w:top w:val="none" w:sz="0" w:space="0" w:color="auto"/>
            <w:left w:val="none" w:sz="0" w:space="0" w:color="auto"/>
            <w:bottom w:val="none" w:sz="0" w:space="0" w:color="auto"/>
            <w:right w:val="none" w:sz="0" w:space="0" w:color="auto"/>
          </w:divBdr>
        </w:div>
      </w:divsChild>
    </w:div>
    <w:div w:id="593130894">
      <w:bodyDiv w:val="1"/>
      <w:marLeft w:val="0"/>
      <w:marRight w:val="0"/>
      <w:marTop w:val="0"/>
      <w:marBottom w:val="0"/>
      <w:divBdr>
        <w:top w:val="none" w:sz="0" w:space="0" w:color="auto"/>
        <w:left w:val="none" w:sz="0" w:space="0" w:color="auto"/>
        <w:bottom w:val="none" w:sz="0" w:space="0" w:color="auto"/>
        <w:right w:val="none" w:sz="0" w:space="0" w:color="auto"/>
      </w:divBdr>
      <w:divsChild>
        <w:div w:id="1098142683">
          <w:marLeft w:val="0"/>
          <w:marRight w:val="0"/>
          <w:marTop w:val="0"/>
          <w:marBottom w:val="0"/>
          <w:divBdr>
            <w:top w:val="none" w:sz="0" w:space="0" w:color="auto"/>
            <w:left w:val="none" w:sz="0" w:space="0" w:color="auto"/>
            <w:bottom w:val="none" w:sz="0" w:space="0" w:color="auto"/>
            <w:right w:val="none" w:sz="0" w:space="0" w:color="auto"/>
          </w:divBdr>
        </w:div>
      </w:divsChild>
    </w:div>
    <w:div w:id="687218537">
      <w:bodyDiv w:val="1"/>
      <w:marLeft w:val="0"/>
      <w:marRight w:val="0"/>
      <w:marTop w:val="0"/>
      <w:marBottom w:val="0"/>
      <w:divBdr>
        <w:top w:val="none" w:sz="0" w:space="0" w:color="auto"/>
        <w:left w:val="none" w:sz="0" w:space="0" w:color="auto"/>
        <w:bottom w:val="none" w:sz="0" w:space="0" w:color="auto"/>
        <w:right w:val="none" w:sz="0" w:space="0" w:color="auto"/>
      </w:divBdr>
      <w:divsChild>
        <w:div w:id="2112624256">
          <w:marLeft w:val="0"/>
          <w:marRight w:val="0"/>
          <w:marTop w:val="0"/>
          <w:marBottom w:val="0"/>
          <w:divBdr>
            <w:top w:val="none" w:sz="0" w:space="0" w:color="auto"/>
            <w:left w:val="none" w:sz="0" w:space="0" w:color="auto"/>
            <w:bottom w:val="none" w:sz="0" w:space="0" w:color="auto"/>
            <w:right w:val="none" w:sz="0" w:space="0" w:color="auto"/>
          </w:divBdr>
        </w:div>
      </w:divsChild>
    </w:div>
    <w:div w:id="1121152243">
      <w:bodyDiv w:val="1"/>
      <w:marLeft w:val="0"/>
      <w:marRight w:val="0"/>
      <w:marTop w:val="0"/>
      <w:marBottom w:val="0"/>
      <w:divBdr>
        <w:top w:val="none" w:sz="0" w:space="0" w:color="auto"/>
        <w:left w:val="none" w:sz="0" w:space="0" w:color="auto"/>
        <w:bottom w:val="none" w:sz="0" w:space="0" w:color="auto"/>
        <w:right w:val="none" w:sz="0" w:space="0" w:color="auto"/>
      </w:divBdr>
      <w:divsChild>
        <w:div w:id="433793255">
          <w:marLeft w:val="0"/>
          <w:marRight w:val="0"/>
          <w:marTop w:val="0"/>
          <w:marBottom w:val="0"/>
          <w:divBdr>
            <w:top w:val="none" w:sz="0" w:space="0" w:color="auto"/>
            <w:left w:val="none" w:sz="0" w:space="0" w:color="auto"/>
            <w:bottom w:val="none" w:sz="0" w:space="0" w:color="auto"/>
            <w:right w:val="none" w:sz="0" w:space="0" w:color="auto"/>
          </w:divBdr>
        </w:div>
      </w:divsChild>
    </w:div>
    <w:div w:id="1144660336">
      <w:bodyDiv w:val="1"/>
      <w:marLeft w:val="0"/>
      <w:marRight w:val="0"/>
      <w:marTop w:val="0"/>
      <w:marBottom w:val="0"/>
      <w:divBdr>
        <w:top w:val="none" w:sz="0" w:space="0" w:color="auto"/>
        <w:left w:val="none" w:sz="0" w:space="0" w:color="auto"/>
        <w:bottom w:val="none" w:sz="0" w:space="0" w:color="auto"/>
        <w:right w:val="none" w:sz="0" w:space="0" w:color="auto"/>
      </w:divBdr>
      <w:divsChild>
        <w:div w:id="1838962959">
          <w:marLeft w:val="0"/>
          <w:marRight w:val="0"/>
          <w:marTop w:val="0"/>
          <w:marBottom w:val="0"/>
          <w:divBdr>
            <w:top w:val="none" w:sz="0" w:space="0" w:color="auto"/>
            <w:left w:val="none" w:sz="0" w:space="0" w:color="auto"/>
            <w:bottom w:val="none" w:sz="0" w:space="0" w:color="auto"/>
            <w:right w:val="none" w:sz="0" w:space="0" w:color="auto"/>
          </w:divBdr>
        </w:div>
      </w:divsChild>
    </w:div>
    <w:div w:id="1524897736">
      <w:bodyDiv w:val="1"/>
      <w:marLeft w:val="0"/>
      <w:marRight w:val="0"/>
      <w:marTop w:val="0"/>
      <w:marBottom w:val="0"/>
      <w:divBdr>
        <w:top w:val="none" w:sz="0" w:space="0" w:color="auto"/>
        <w:left w:val="none" w:sz="0" w:space="0" w:color="auto"/>
        <w:bottom w:val="none" w:sz="0" w:space="0" w:color="auto"/>
        <w:right w:val="none" w:sz="0" w:space="0" w:color="auto"/>
      </w:divBdr>
      <w:divsChild>
        <w:div w:id="832994518">
          <w:marLeft w:val="0"/>
          <w:marRight w:val="0"/>
          <w:marTop w:val="0"/>
          <w:marBottom w:val="0"/>
          <w:divBdr>
            <w:top w:val="none" w:sz="0" w:space="0" w:color="auto"/>
            <w:left w:val="none" w:sz="0" w:space="0" w:color="auto"/>
            <w:bottom w:val="none" w:sz="0" w:space="0" w:color="auto"/>
            <w:right w:val="none" w:sz="0" w:space="0" w:color="auto"/>
          </w:divBdr>
        </w:div>
      </w:divsChild>
    </w:div>
    <w:div w:id="1562667002">
      <w:bodyDiv w:val="1"/>
      <w:marLeft w:val="0"/>
      <w:marRight w:val="0"/>
      <w:marTop w:val="0"/>
      <w:marBottom w:val="0"/>
      <w:divBdr>
        <w:top w:val="none" w:sz="0" w:space="0" w:color="auto"/>
        <w:left w:val="none" w:sz="0" w:space="0" w:color="auto"/>
        <w:bottom w:val="none" w:sz="0" w:space="0" w:color="auto"/>
        <w:right w:val="none" w:sz="0" w:space="0" w:color="auto"/>
      </w:divBdr>
      <w:divsChild>
        <w:div w:id="203761075">
          <w:marLeft w:val="0"/>
          <w:marRight w:val="0"/>
          <w:marTop w:val="0"/>
          <w:marBottom w:val="0"/>
          <w:divBdr>
            <w:top w:val="none" w:sz="0" w:space="0" w:color="auto"/>
            <w:left w:val="none" w:sz="0" w:space="0" w:color="auto"/>
            <w:bottom w:val="none" w:sz="0" w:space="0" w:color="auto"/>
            <w:right w:val="none" w:sz="0" w:space="0" w:color="auto"/>
          </w:divBdr>
        </w:div>
      </w:divsChild>
    </w:div>
    <w:div w:id="1621063926">
      <w:bodyDiv w:val="1"/>
      <w:marLeft w:val="0"/>
      <w:marRight w:val="0"/>
      <w:marTop w:val="0"/>
      <w:marBottom w:val="0"/>
      <w:divBdr>
        <w:top w:val="none" w:sz="0" w:space="0" w:color="auto"/>
        <w:left w:val="none" w:sz="0" w:space="0" w:color="auto"/>
        <w:bottom w:val="none" w:sz="0" w:space="0" w:color="auto"/>
        <w:right w:val="none" w:sz="0" w:space="0" w:color="auto"/>
      </w:divBdr>
      <w:divsChild>
        <w:div w:id="2034452508">
          <w:marLeft w:val="0"/>
          <w:marRight w:val="0"/>
          <w:marTop w:val="0"/>
          <w:marBottom w:val="0"/>
          <w:divBdr>
            <w:top w:val="none" w:sz="0" w:space="0" w:color="auto"/>
            <w:left w:val="none" w:sz="0" w:space="0" w:color="auto"/>
            <w:bottom w:val="none" w:sz="0" w:space="0" w:color="auto"/>
            <w:right w:val="none" w:sz="0" w:space="0" w:color="auto"/>
          </w:divBdr>
        </w:div>
        <w:div w:id="1384867569">
          <w:marLeft w:val="0"/>
          <w:marRight w:val="0"/>
          <w:marTop w:val="0"/>
          <w:marBottom w:val="0"/>
          <w:divBdr>
            <w:top w:val="none" w:sz="0" w:space="0" w:color="auto"/>
            <w:left w:val="none" w:sz="0" w:space="0" w:color="auto"/>
            <w:bottom w:val="none" w:sz="0" w:space="0" w:color="auto"/>
            <w:right w:val="none" w:sz="0" w:space="0" w:color="auto"/>
          </w:divBdr>
          <w:divsChild>
            <w:div w:id="1981882537">
              <w:marLeft w:val="0"/>
              <w:marRight w:val="0"/>
              <w:marTop w:val="0"/>
              <w:marBottom w:val="0"/>
              <w:divBdr>
                <w:top w:val="none" w:sz="0" w:space="0" w:color="auto"/>
                <w:left w:val="none" w:sz="0" w:space="0" w:color="auto"/>
                <w:bottom w:val="none" w:sz="0" w:space="0" w:color="auto"/>
                <w:right w:val="none" w:sz="0" w:space="0" w:color="auto"/>
              </w:divBdr>
            </w:div>
            <w:div w:id="93987447">
              <w:marLeft w:val="0"/>
              <w:marRight w:val="0"/>
              <w:marTop w:val="0"/>
              <w:marBottom w:val="0"/>
              <w:divBdr>
                <w:top w:val="none" w:sz="0" w:space="0" w:color="auto"/>
                <w:left w:val="none" w:sz="0" w:space="0" w:color="auto"/>
                <w:bottom w:val="none" w:sz="0" w:space="0" w:color="auto"/>
                <w:right w:val="none" w:sz="0" w:space="0" w:color="auto"/>
              </w:divBdr>
            </w:div>
          </w:divsChild>
        </w:div>
        <w:div w:id="1403525535">
          <w:marLeft w:val="0"/>
          <w:marRight w:val="0"/>
          <w:marTop w:val="0"/>
          <w:marBottom w:val="0"/>
          <w:divBdr>
            <w:top w:val="none" w:sz="0" w:space="0" w:color="auto"/>
            <w:left w:val="none" w:sz="0" w:space="0" w:color="auto"/>
            <w:bottom w:val="none" w:sz="0" w:space="0" w:color="auto"/>
            <w:right w:val="none" w:sz="0" w:space="0" w:color="auto"/>
          </w:divBdr>
        </w:div>
        <w:div w:id="1839880638">
          <w:marLeft w:val="0"/>
          <w:marRight w:val="0"/>
          <w:marTop w:val="0"/>
          <w:marBottom w:val="0"/>
          <w:divBdr>
            <w:top w:val="none" w:sz="0" w:space="0" w:color="auto"/>
            <w:left w:val="none" w:sz="0" w:space="0" w:color="auto"/>
            <w:bottom w:val="none" w:sz="0" w:space="0" w:color="auto"/>
            <w:right w:val="none" w:sz="0" w:space="0" w:color="auto"/>
          </w:divBdr>
        </w:div>
      </w:divsChild>
    </w:div>
    <w:div w:id="1648440142">
      <w:bodyDiv w:val="1"/>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7490</Characters>
  <Application>Microsoft Office Word</Application>
  <DocSecurity>4</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Служба по тарифам ЧР Матвеева Е.Б.</cp:lastModifiedBy>
  <cp:revision>2</cp:revision>
  <dcterms:created xsi:type="dcterms:W3CDTF">2020-10-16T11:35:00Z</dcterms:created>
  <dcterms:modified xsi:type="dcterms:W3CDTF">2020-10-16T11:35:00Z</dcterms:modified>
</cp:coreProperties>
</file>