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BEF" w:rsidRDefault="00C06BEF" w:rsidP="00C06BEF">
      <w:pPr>
        <w:shd w:val="clear" w:color="auto" w:fill="FFFFFF"/>
        <w:spacing w:after="255" w:line="300" w:lineRule="atLeast"/>
        <w:jc w:val="center"/>
        <w:outlineLvl w:val="1"/>
        <w:rPr>
          <w:rFonts w:ascii="Times New Roman" w:eastAsia="Times New Roman" w:hAnsi="Times New Roman" w:cs="Times New Roman"/>
          <w:b/>
          <w:bCs/>
          <w:color w:val="4D4D4D"/>
          <w:sz w:val="28"/>
          <w:szCs w:val="24"/>
          <w:lang w:eastAsia="ru-RU"/>
        </w:rPr>
      </w:pPr>
      <w:bookmarkStart w:id="0" w:name="_GoBack"/>
      <w:bookmarkEnd w:id="0"/>
      <w:r w:rsidRPr="00C06BEF">
        <w:rPr>
          <w:rFonts w:ascii="Times New Roman" w:eastAsia="Times New Roman" w:hAnsi="Times New Roman" w:cs="Times New Roman"/>
          <w:b/>
          <w:bCs/>
          <w:color w:val="4D4D4D"/>
          <w:sz w:val="28"/>
          <w:szCs w:val="24"/>
          <w:lang w:eastAsia="ru-RU"/>
        </w:rPr>
        <w:t xml:space="preserve">Письмо Минфина России от 24 июля 2017 г. N 24-05-09/47126 </w:t>
      </w:r>
    </w:p>
    <w:p w:rsidR="00C06BEF" w:rsidRPr="00C06BEF" w:rsidRDefault="00C06BEF" w:rsidP="00C06BEF">
      <w:pPr>
        <w:shd w:val="clear" w:color="auto" w:fill="FFFFFF"/>
        <w:spacing w:after="255" w:line="300" w:lineRule="atLeast"/>
        <w:jc w:val="center"/>
        <w:outlineLvl w:val="1"/>
        <w:rPr>
          <w:rFonts w:ascii="Times New Roman" w:eastAsia="Times New Roman" w:hAnsi="Times New Roman" w:cs="Times New Roman"/>
          <w:b/>
          <w:bCs/>
          <w:color w:val="4D4D4D"/>
          <w:sz w:val="28"/>
          <w:szCs w:val="24"/>
          <w:lang w:eastAsia="ru-RU"/>
        </w:rPr>
      </w:pPr>
      <w:r>
        <w:rPr>
          <w:rFonts w:ascii="Times New Roman" w:eastAsia="Times New Roman" w:hAnsi="Times New Roman" w:cs="Times New Roman"/>
          <w:b/>
          <w:bCs/>
          <w:color w:val="4D4D4D"/>
          <w:sz w:val="28"/>
          <w:szCs w:val="24"/>
          <w:lang w:eastAsia="ru-RU"/>
        </w:rPr>
        <w:t>«</w:t>
      </w:r>
      <w:r w:rsidRPr="00C06BEF">
        <w:rPr>
          <w:rFonts w:ascii="Times New Roman" w:eastAsia="Times New Roman" w:hAnsi="Times New Roman" w:cs="Times New Roman"/>
          <w:b/>
          <w:bCs/>
          <w:color w:val="4D4D4D"/>
          <w:sz w:val="28"/>
          <w:szCs w:val="24"/>
          <w:lang w:eastAsia="ru-RU"/>
        </w:rPr>
        <w:t>О применении положений Федеральног</w:t>
      </w:r>
      <w:r>
        <w:rPr>
          <w:rFonts w:ascii="Times New Roman" w:eastAsia="Times New Roman" w:hAnsi="Times New Roman" w:cs="Times New Roman"/>
          <w:b/>
          <w:bCs/>
          <w:color w:val="4D4D4D"/>
          <w:sz w:val="28"/>
          <w:szCs w:val="24"/>
          <w:lang w:eastAsia="ru-RU"/>
        </w:rPr>
        <w:t>о закона от 05.04.2013 N 44-ФЗ «</w:t>
      </w:r>
      <w:r w:rsidRPr="00C06BEF">
        <w:rPr>
          <w:rFonts w:ascii="Times New Roman" w:eastAsia="Times New Roman" w:hAnsi="Times New Roman" w:cs="Times New Roman"/>
          <w:b/>
          <w:bCs/>
          <w:color w:val="4D4D4D"/>
          <w:sz w:val="28"/>
          <w:szCs w:val="24"/>
          <w:lang w:eastAsia="ru-RU"/>
        </w:rPr>
        <w:t>О контрактной системе в сфере закупок товаров, работ, услуг для обеспечения госуд</w:t>
      </w:r>
      <w:r>
        <w:rPr>
          <w:rFonts w:ascii="Times New Roman" w:eastAsia="Times New Roman" w:hAnsi="Times New Roman" w:cs="Times New Roman"/>
          <w:b/>
          <w:bCs/>
          <w:color w:val="4D4D4D"/>
          <w:sz w:val="28"/>
          <w:szCs w:val="24"/>
          <w:lang w:eastAsia="ru-RU"/>
        </w:rPr>
        <w:t>арственных и муниципальных нужд»</w:t>
      </w:r>
    </w:p>
    <w:p w:rsidR="00C06BEF" w:rsidRPr="00C06BEF" w:rsidRDefault="00C06BEF" w:rsidP="00C06BEF">
      <w:pPr>
        <w:shd w:val="clear" w:color="auto" w:fill="FFFFFF"/>
        <w:spacing w:after="255" w:line="270" w:lineRule="atLeast"/>
        <w:jc w:val="both"/>
        <w:rPr>
          <w:rFonts w:ascii="Times New Roman" w:eastAsia="Times New Roman" w:hAnsi="Times New Roman" w:cs="Times New Roman"/>
          <w:color w:val="333333"/>
          <w:sz w:val="24"/>
          <w:szCs w:val="24"/>
          <w:lang w:eastAsia="ru-RU"/>
        </w:rPr>
      </w:pPr>
      <w:bookmarkStart w:id="1" w:name="0"/>
      <w:bookmarkEnd w:id="1"/>
      <w:r w:rsidRPr="00C06BEF">
        <w:rPr>
          <w:rFonts w:ascii="Times New Roman" w:eastAsia="Times New Roman" w:hAnsi="Times New Roman" w:cs="Times New Roman"/>
          <w:color w:val="333333"/>
          <w:sz w:val="24"/>
          <w:szCs w:val="24"/>
          <w:lang w:eastAsia="ru-RU"/>
        </w:rPr>
        <w:t>Министерство финансов Российской Федерации, рассмотрев обращение по вопросу о применении положений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при заключении контракта на основании пункта 4 части 1 статьи 93 Закона о контрактной системе с сотрудником заказчика, в рамках своей компетенции сообщает.</w:t>
      </w:r>
    </w:p>
    <w:p w:rsidR="00C06BEF" w:rsidRPr="00C06BEF" w:rsidRDefault="00C06BEF" w:rsidP="00C06BEF">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C06BEF">
        <w:rPr>
          <w:rFonts w:ascii="Times New Roman" w:eastAsia="Times New Roman" w:hAnsi="Times New Roman" w:cs="Times New Roman"/>
          <w:color w:val="333333"/>
          <w:sz w:val="24"/>
          <w:szCs w:val="24"/>
          <w:lang w:eastAsia="ru-RU"/>
        </w:rPr>
        <w:t>В соответствии с положениями статьи 3 Закона о контрактной системе под закупкой товара, работы, услуги для обеспечения государственных или муниципальных нужд понимается совокупность действий, осуществляемых в установленном Законом о контрактной системе порядке заказчиком и направленных на обеспечение государственных или муниципальных нужд.</w:t>
      </w:r>
    </w:p>
    <w:p w:rsidR="00C06BEF" w:rsidRPr="00C06BEF" w:rsidRDefault="00C06BEF" w:rsidP="00C06BEF">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C06BEF">
        <w:rPr>
          <w:rFonts w:ascii="Times New Roman" w:eastAsia="Times New Roman" w:hAnsi="Times New Roman" w:cs="Times New Roman"/>
          <w:color w:val="333333"/>
          <w:sz w:val="24"/>
          <w:szCs w:val="24"/>
          <w:lang w:eastAsia="ru-RU"/>
        </w:rPr>
        <w:t>В случае,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 Под участником закупки понимается, в том числе, любое физическое лицо.</w:t>
      </w:r>
    </w:p>
    <w:p w:rsidR="00C06BEF" w:rsidRPr="00C06BEF" w:rsidRDefault="00C06BEF" w:rsidP="00C06BEF">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C06BEF">
        <w:rPr>
          <w:rFonts w:ascii="Times New Roman" w:eastAsia="Times New Roman" w:hAnsi="Times New Roman" w:cs="Times New Roman"/>
          <w:color w:val="333333"/>
          <w:sz w:val="24"/>
          <w:szCs w:val="24"/>
          <w:lang w:eastAsia="ru-RU"/>
        </w:rPr>
        <w:t xml:space="preserve">В соответствии с пунктом 9 части 1 статьи 31 Закона о контрактной системе при осуществлении закупки заказчик устанавливает единые требования к участникам закупки, в том числе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06BEF">
        <w:rPr>
          <w:rFonts w:ascii="Times New Roman" w:eastAsia="Times New Roman" w:hAnsi="Times New Roman" w:cs="Times New Roman"/>
          <w:color w:val="333333"/>
          <w:sz w:val="24"/>
          <w:szCs w:val="24"/>
          <w:lang w:eastAsia="ru-RU"/>
        </w:rPr>
        <w:t>неполнородными</w:t>
      </w:r>
      <w:proofErr w:type="spellEnd"/>
      <w:r w:rsidRPr="00C06BEF">
        <w:rPr>
          <w:rFonts w:ascii="Times New Roman" w:eastAsia="Times New Roman" w:hAnsi="Times New Roman" w:cs="Times New Roman"/>
          <w:color w:val="333333"/>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06BEF" w:rsidRPr="00C06BEF" w:rsidRDefault="00C06BEF" w:rsidP="00C06BEF">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C06BEF">
        <w:rPr>
          <w:rFonts w:ascii="Times New Roman" w:eastAsia="Times New Roman" w:hAnsi="Times New Roman" w:cs="Times New Roman"/>
          <w:color w:val="333333"/>
          <w:sz w:val="24"/>
          <w:szCs w:val="24"/>
          <w:lang w:eastAsia="ru-RU"/>
        </w:rPr>
        <w:t xml:space="preserve">Кроме того, согласно части 22 статьи 34 Закона о контрактной системе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w:t>
      </w:r>
      <w:r w:rsidRPr="00C06BEF">
        <w:rPr>
          <w:rFonts w:ascii="Times New Roman" w:eastAsia="Times New Roman" w:hAnsi="Times New Roman" w:cs="Times New Roman"/>
          <w:color w:val="333333"/>
          <w:sz w:val="24"/>
          <w:szCs w:val="24"/>
          <w:lang w:eastAsia="ru-RU"/>
        </w:rPr>
        <w:lastRenderedPageBreak/>
        <w:t>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C06BEF" w:rsidRPr="00C06BEF" w:rsidRDefault="00C06BEF" w:rsidP="00C06BEF">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C06BEF">
        <w:rPr>
          <w:rFonts w:ascii="Times New Roman" w:eastAsia="Times New Roman" w:hAnsi="Times New Roman" w:cs="Times New Roman"/>
          <w:color w:val="333333"/>
          <w:sz w:val="24"/>
          <w:szCs w:val="24"/>
          <w:lang w:eastAsia="ru-RU"/>
        </w:rPr>
        <w:t>На основании изложенного, Минфин России обращает внимание на необходимость учета приведенных запретов, установленных Законом о контрактной системе, при рассмотрении вопроса о заключении контракта с физическим лицом на основании пункта 4 части 1 статьи 93 Закона о контрактной системе.</w:t>
      </w:r>
    </w:p>
    <w:p w:rsidR="00C06BEF" w:rsidRPr="00C06BEF" w:rsidRDefault="00C06BEF" w:rsidP="00C06BEF">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C06BEF">
        <w:rPr>
          <w:rFonts w:ascii="Times New Roman" w:eastAsia="Times New Roman" w:hAnsi="Times New Roman" w:cs="Times New Roman"/>
          <w:color w:val="333333"/>
          <w:sz w:val="24"/>
          <w:szCs w:val="24"/>
          <w:lang w:eastAsia="ru-RU"/>
        </w:rPr>
        <w:t>Дополнительно Минфин России обращает внимание на наличие обязанностей и ограничений, налагаемых на должностных лиц Федеральным законом от 25.12.2008 N 273-ФЗ "О противодействии коррупции", в том числе по предотвращению и урегулированию конфликта интересов, понятие которого установлено данным законом.</w:t>
      </w:r>
    </w:p>
    <w:tbl>
      <w:tblPr>
        <w:tblW w:w="5435" w:type="pct"/>
        <w:tblCellMar>
          <w:top w:w="15" w:type="dxa"/>
          <w:left w:w="15" w:type="dxa"/>
          <w:bottom w:w="15" w:type="dxa"/>
          <w:right w:w="15" w:type="dxa"/>
        </w:tblCellMar>
        <w:tblLook w:val="04A0" w:firstRow="1" w:lastRow="0" w:firstColumn="1" w:lastColumn="0" w:noHBand="0" w:noVBand="1"/>
      </w:tblPr>
      <w:tblGrid>
        <w:gridCol w:w="5100"/>
        <w:gridCol w:w="5101"/>
      </w:tblGrid>
      <w:tr w:rsidR="00C06BEF" w:rsidRPr="00C06BEF" w:rsidTr="00C06BEF">
        <w:trPr>
          <w:trHeight w:val="439"/>
        </w:trPr>
        <w:tc>
          <w:tcPr>
            <w:tcW w:w="2500" w:type="pct"/>
            <w:hideMark/>
          </w:tcPr>
          <w:p w:rsidR="00C06BEF" w:rsidRPr="00C06BEF" w:rsidRDefault="00C06BEF" w:rsidP="00C06BEF">
            <w:pPr>
              <w:spacing w:after="0" w:line="240" w:lineRule="auto"/>
              <w:jc w:val="both"/>
              <w:rPr>
                <w:rFonts w:ascii="Times New Roman" w:eastAsia="Times New Roman" w:hAnsi="Times New Roman" w:cs="Times New Roman"/>
                <w:sz w:val="24"/>
                <w:szCs w:val="24"/>
                <w:lang w:eastAsia="ru-RU"/>
              </w:rPr>
            </w:pPr>
            <w:r w:rsidRPr="00C06BEF">
              <w:rPr>
                <w:rFonts w:ascii="Times New Roman" w:eastAsia="Times New Roman" w:hAnsi="Times New Roman" w:cs="Times New Roman"/>
                <w:sz w:val="24"/>
                <w:szCs w:val="24"/>
                <w:lang w:eastAsia="ru-RU"/>
              </w:rPr>
              <w:t>   </w:t>
            </w:r>
          </w:p>
        </w:tc>
        <w:tc>
          <w:tcPr>
            <w:tcW w:w="2500" w:type="pct"/>
            <w:hideMark/>
          </w:tcPr>
          <w:p w:rsidR="00C06BEF" w:rsidRPr="00C06BEF" w:rsidRDefault="00C06BEF" w:rsidP="00C06B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06BEF">
              <w:rPr>
                <w:rFonts w:ascii="Times New Roman" w:eastAsia="Times New Roman" w:hAnsi="Times New Roman" w:cs="Times New Roman"/>
                <w:sz w:val="24"/>
                <w:szCs w:val="24"/>
                <w:lang w:eastAsia="ru-RU"/>
              </w:rPr>
              <w:t>Т.Г. Нестеренко</w:t>
            </w:r>
          </w:p>
        </w:tc>
      </w:tr>
    </w:tbl>
    <w:p w:rsidR="00CB00E7" w:rsidRPr="00C06BEF" w:rsidRDefault="00CB00E7" w:rsidP="00C06BEF">
      <w:pPr>
        <w:jc w:val="both"/>
        <w:rPr>
          <w:rFonts w:ascii="Times New Roman" w:hAnsi="Times New Roman" w:cs="Times New Roman"/>
          <w:sz w:val="24"/>
          <w:szCs w:val="24"/>
        </w:rPr>
      </w:pPr>
    </w:p>
    <w:sectPr w:rsidR="00CB00E7" w:rsidRPr="00C06B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287"/>
    <w:rsid w:val="004C7287"/>
    <w:rsid w:val="008A6B28"/>
    <w:rsid w:val="00C06BEF"/>
    <w:rsid w:val="00CB0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06B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6BE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06B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06B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6BE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06B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19188">
      <w:bodyDiv w:val="1"/>
      <w:marLeft w:val="0"/>
      <w:marRight w:val="0"/>
      <w:marTop w:val="0"/>
      <w:marBottom w:val="0"/>
      <w:divBdr>
        <w:top w:val="none" w:sz="0" w:space="0" w:color="auto"/>
        <w:left w:val="none" w:sz="0" w:space="0" w:color="auto"/>
        <w:bottom w:val="none" w:sz="0" w:space="0" w:color="auto"/>
        <w:right w:val="none" w:sz="0" w:space="0" w:color="auto"/>
      </w:divBdr>
      <w:divsChild>
        <w:div w:id="541018190">
          <w:marLeft w:val="0"/>
          <w:marRight w:val="0"/>
          <w:marTop w:val="0"/>
          <w:marBottom w:val="180"/>
          <w:divBdr>
            <w:top w:val="none" w:sz="0" w:space="0" w:color="auto"/>
            <w:left w:val="none" w:sz="0" w:space="0" w:color="auto"/>
            <w:bottom w:val="none" w:sz="0" w:space="0" w:color="auto"/>
            <w:right w:val="none" w:sz="0" w:space="0" w:color="auto"/>
          </w:divBdr>
        </w:div>
        <w:div w:id="697269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3694</Characters>
  <Application>Microsoft Office Word</Application>
  <DocSecurity>4</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Служба по тарифам ЧР Матвеева Е.Б.</cp:lastModifiedBy>
  <cp:revision>2</cp:revision>
  <dcterms:created xsi:type="dcterms:W3CDTF">2020-10-16T12:00:00Z</dcterms:created>
  <dcterms:modified xsi:type="dcterms:W3CDTF">2020-10-16T12:00:00Z</dcterms:modified>
</cp:coreProperties>
</file>