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E12D8" w:rsidRDefault="005B4367">
      <w:pPr>
        <w:pStyle w:val="ConsPlusNormal"/>
        <w:jc w:val="both"/>
        <w:outlineLvl w:val="0"/>
      </w:pPr>
    </w:p>
    <w:p w:rsidR="00000000" w:rsidRPr="006E12D8" w:rsidRDefault="005B4367">
      <w:pPr>
        <w:pStyle w:val="ConsPlusTitle"/>
        <w:jc w:val="center"/>
        <w:outlineLvl w:val="0"/>
      </w:pPr>
      <w:r w:rsidRPr="006E12D8">
        <w:t>МИНИСТЕРСТВО ФИНАНСОВ РОССИЙСКОЙ ФЕДЕРАЦИИ</w:t>
      </w:r>
    </w:p>
    <w:p w:rsidR="00000000" w:rsidRPr="006E12D8" w:rsidRDefault="005B4367">
      <w:pPr>
        <w:pStyle w:val="ConsPlusTitle"/>
        <w:jc w:val="center"/>
      </w:pPr>
    </w:p>
    <w:p w:rsidR="00000000" w:rsidRPr="006E12D8" w:rsidRDefault="005B4367">
      <w:pPr>
        <w:pStyle w:val="ConsPlusTitle"/>
        <w:jc w:val="center"/>
      </w:pPr>
      <w:r w:rsidRPr="006E12D8">
        <w:t>ФЕДЕРАЛЬНОЕ КАЗНАЧЕЙСТВО</w:t>
      </w:r>
    </w:p>
    <w:p w:rsidR="00000000" w:rsidRPr="006E12D8" w:rsidRDefault="005B4367">
      <w:pPr>
        <w:pStyle w:val="ConsPlusTitle"/>
        <w:jc w:val="center"/>
      </w:pPr>
    </w:p>
    <w:p w:rsidR="00000000" w:rsidRPr="006E12D8" w:rsidRDefault="005B4367">
      <w:pPr>
        <w:pStyle w:val="ConsPlusTitle"/>
        <w:jc w:val="center"/>
      </w:pPr>
      <w:r w:rsidRPr="006E12D8">
        <w:t>ПИСЬМО</w:t>
      </w:r>
    </w:p>
    <w:p w:rsidR="00000000" w:rsidRPr="006E12D8" w:rsidRDefault="005B4367">
      <w:pPr>
        <w:pStyle w:val="ConsPlusTitle"/>
        <w:jc w:val="center"/>
      </w:pPr>
      <w:r w:rsidRPr="006E12D8">
        <w:t>от 6 февраля 2020 г. N 07-04-05/22-2214</w:t>
      </w:r>
    </w:p>
    <w:p w:rsidR="00000000" w:rsidRPr="006E12D8" w:rsidRDefault="005B4367">
      <w:pPr>
        <w:pStyle w:val="ConsPlusTitle"/>
        <w:jc w:val="center"/>
      </w:pPr>
    </w:p>
    <w:p w:rsidR="00000000" w:rsidRPr="006E12D8" w:rsidRDefault="005B4367">
      <w:pPr>
        <w:pStyle w:val="ConsPlusTitle"/>
        <w:jc w:val="center"/>
      </w:pPr>
      <w:r w:rsidRPr="006E12D8">
        <w:t>О НАПРАВЛЕНИИ МЕТОДИЧЕСКИХ РЕКОМЕНДАЦИЙ</w:t>
      </w: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ind w:firstLine="540"/>
        <w:jc w:val="both"/>
      </w:pPr>
      <w:r w:rsidRPr="006E12D8">
        <w:t xml:space="preserve">Федеральное казначейство направляет для использования в работе Методические </w:t>
      </w:r>
      <w:r w:rsidRPr="006E12D8">
        <w:t>рекомендации</w:t>
      </w:r>
      <w:r w:rsidRPr="006E12D8">
        <w:t xml:space="preserve"> по проверке документов по критер</w:t>
      </w:r>
      <w:r w:rsidRPr="006E12D8">
        <w:t>иям приостановления открытия (отказа в открытии) лицевых счетов террито</w:t>
      </w:r>
      <w:bookmarkStart w:id="0" w:name="_GoBack"/>
      <w:bookmarkEnd w:id="0"/>
      <w:r w:rsidRPr="006E12D8">
        <w:t xml:space="preserve">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</w:t>
      </w:r>
      <w:r w:rsidRPr="006E12D8">
        <w:t>государственному оборонному заказу, подготовленные с целью реализации положения приказа Федерального казначейства от 23 декабря 2019 г. N 39н "Об утверждении критериев приостановления открытия (отказа в открытии) лицевых счетов территориальными органами Фе</w:t>
      </w:r>
      <w:r w:rsidRPr="006E12D8">
        <w:t>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(контрактов, договоров) по государственному оборонному заказу".</w:t>
      </w: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jc w:val="right"/>
      </w:pPr>
      <w:r w:rsidRPr="006E12D8">
        <w:t>Р.Е.АРТЮХИН</w:t>
      </w: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ind w:firstLine="540"/>
        <w:jc w:val="both"/>
      </w:pPr>
    </w:p>
    <w:p w:rsidR="00000000" w:rsidRPr="006E12D8" w:rsidRDefault="005B4367">
      <w:pPr>
        <w:pStyle w:val="ConsPlusNormal"/>
        <w:jc w:val="right"/>
        <w:outlineLvl w:val="0"/>
      </w:pPr>
      <w:r w:rsidRPr="006E12D8">
        <w:t>Приложение</w:t>
      </w:r>
    </w:p>
    <w:p w:rsidR="00000000" w:rsidRPr="006E12D8" w:rsidRDefault="005B4367">
      <w:pPr>
        <w:pStyle w:val="ConsPlusNormal"/>
        <w:jc w:val="right"/>
      </w:pPr>
      <w:r w:rsidRPr="006E12D8">
        <w:t>к письму Федера</w:t>
      </w:r>
      <w:r w:rsidRPr="006E12D8">
        <w:t>льного казначейства</w:t>
      </w:r>
    </w:p>
    <w:p w:rsidR="00000000" w:rsidRPr="006E12D8" w:rsidRDefault="005B4367">
      <w:pPr>
        <w:pStyle w:val="ConsPlusNormal"/>
        <w:jc w:val="right"/>
      </w:pPr>
      <w:r w:rsidRPr="006E12D8">
        <w:t>от 06.02.2020 N 07-04-05/22-2214</w:t>
      </w:r>
    </w:p>
    <w:p w:rsidR="00000000" w:rsidRPr="006E12D8" w:rsidRDefault="005B4367">
      <w:pPr>
        <w:pStyle w:val="ConsPlusNormal"/>
        <w:jc w:val="center"/>
      </w:pPr>
    </w:p>
    <w:p w:rsidR="00000000" w:rsidRPr="006E12D8" w:rsidRDefault="005B4367">
      <w:pPr>
        <w:pStyle w:val="ConsPlusTitle"/>
        <w:jc w:val="center"/>
      </w:pPr>
      <w:bookmarkStart w:id="1" w:name="Par22"/>
      <w:bookmarkEnd w:id="1"/>
      <w:r w:rsidRPr="006E12D8">
        <w:t>МЕТОДИЧЕСКИЕ РЕКОМЕНДАЦИИ</w:t>
      </w:r>
    </w:p>
    <w:p w:rsidR="00000000" w:rsidRPr="006E12D8" w:rsidRDefault="005B4367">
      <w:pPr>
        <w:pStyle w:val="ConsPlusTitle"/>
        <w:jc w:val="center"/>
      </w:pPr>
      <w:r w:rsidRPr="006E12D8">
        <w:t>ПО ПРОВЕРКЕ ДОКУМЕНТОВ ПО КРИТЕРИЯМ ПРИОСТАНОВЛЕНИЯ</w:t>
      </w:r>
    </w:p>
    <w:p w:rsidR="00000000" w:rsidRPr="006E12D8" w:rsidRDefault="005B4367">
      <w:pPr>
        <w:pStyle w:val="ConsPlusTitle"/>
        <w:jc w:val="center"/>
      </w:pPr>
      <w:r w:rsidRPr="006E12D8">
        <w:t>ОТКРЫТИЯ (ОТКАЗА В ОТКРЫТИИ) ЛИЦЕВЫХ СЧЕТОВ</w:t>
      </w:r>
    </w:p>
    <w:p w:rsidR="00000000" w:rsidRPr="006E12D8" w:rsidRDefault="005B4367">
      <w:pPr>
        <w:pStyle w:val="ConsPlusTitle"/>
        <w:jc w:val="center"/>
      </w:pPr>
      <w:r w:rsidRPr="006E12D8">
        <w:t>ТЕРРИТОРИАЛЬНЫМИ ОРГАНАМИ ФЕДЕРАЛЬНОГО КАЗНАЧЕЙСТВА</w:t>
      </w:r>
    </w:p>
    <w:p w:rsidR="00000000" w:rsidRPr="006E12D8" w:rsidRDefault="005B4367">
      <w:pPr>
        <w:pStyle w:val="ConsPlusTitle"/>
        <w:jc w:val="center"/>
      </w:pPr>
      <w:r w:rsidRPr="006E12D8">
        <w:t>ПРИ КАЗНАЧЕЙСКОМ СОПРОВОЖДЕНИИ СРЕДСТВ, ПОЛУЧАЕМЫХ</w:t>
      </w:r>
    </w:p>
    <w:p w:rsidR="00000000" w:rsidRPr="006E12D8" w:rsidRDefault="005B4367">
      <w:pPr>
        <w:pStyle w:val="ConsPlusTitle"/>
        <w:jc w:val="center"/>
      </w:pPr>
      <w:r w:rsidRPr="006E12D8">
        <w:t>ПРИ ОСУЩЕСТВЛЕНИИ РАСЧЕТОВ В ЦЕЛЯХ ИСПОЛНЕНИЯ</w:t>
      </w:r>
    </w:p>
    <w:p w:rsidR="00000000" w:rsidRPr="006E12D8" w:rsidRDefault="005B4367">
      <w:pPr>
        <w:pStyle w:val="ConsPlusTitle"/>
        <w:jc w:val="center"/>
      </w:pPr>
      <w:r w:rsidRPr="006E12D8">
        <w:t>ГОСУДАРСТВЕННЫХ КОНТРАКТОВ (КОНТРАКТОВ, ДОГОВОРОВ)</w:t>
      </w:r>
    </w:p>
    <w:p w:rsidR="00000000" w:rsidRPr="006E12D8" w:rsidRDefault="005B4367">
      <w:pPr>
        <w:pStyle w:val="ConsPlusTitle"/>
        <w:jc w:val="center"/>
      </w:pPr>
      <w:r w:rsidRPr="006E12D8">
        <w:t>ПО ГОСУДАРСТВЕННОМУ ОБОРОННОМУ ЗАКАЗУ</w:t>
      </w:r>
    </w:p>
    <w:p w:rsidR="00000000" w:rsidRPr="006E12D8" w:rsidRDefault="005B4367">
      <w:pPr>
        <w:pStyle w:val="ConsPlusNormal"/>
        <w:jc w:val="center"/>
      </w:pPr>
    </w:p>
    <w:p w:rsidR="00000000" w:rsidRPr="006E12D8" w:rsidRDefault="005B4367">
      <w:pPr>
        <w:pStyle w:val="ConsPlusNormal"/>
        <w:ind w:firstLine="540"/>
        <w:jc w:val="both"/>
      </w:pPr>
      <w:r w:rsidRPr="006E12D8">
        <w:t>1. Настоящие методические рекомендации подготовлены с целью реализаци</w:t>
      </w:r>
      <w:r w:rsidRPr="006E12D8">
        <w:t>и территориальными органами Федерального казначейства положений приказа Федерального казначейства от 23 декабря 2019 г. N 39н "Об утверждении критериев приостановления открытия (отказа в открытии) лицевых счетов территориальными органами Федерального казна</w:t>
      </w:r>
      <w:r w:rsidRPr="006E12D8">
        <w:t>чейства при казначейском сопровождении средств, получаемых при осуществлении расчетов в целях исполнения государственных контрактов (контрактов, договоров) по государственному оборонному заказу" (далее - Критерии).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2. В соответствии с пунктом 1 Критериев т</w:t>
      </w:r>
      <w:r w:rsidRPr="006E12D8">
        <w:t xml:space="preserve">ерриториальный орган Федерального казначейства осуществляет проверку реквизитов, предусмотренных к заполнению клиентом при представлении </w:t>
      </w:r>
      <w:r w:rsidRPr="006E12D8">
        <w:lastRenderedPageBreak/>
        <w:t>Заявления на открытие лицевого счета (код формы по КФД 0531752) либо Заявления на резервирование/открытие (закрытие) ли</w:t>
      </w:r>
      <w:r w:rsidRPr="006E12D8">
        <w:t>цевого счета (код формы по КФД 0531368) и Карточки образцов подписей к лицевым счетам (далее соответственно - Заявление, Карточка), данным Единого государственного реестра юридических лиц (Единого государственного реестра индивидуальных предпринимателей) (</w:t>
      </w:r>
      <w:r w:rsidRPr="006E12D8">
        <w:t>далее - ЕГРЮЛ (ЕГРИП).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осуществляется с использованием электронного сервиса "Прозрачный бизнес", размещенного в информационно-телекоммуникационной сети "Интернет" (далее - сеть "Интернет") по адресу: http://www.nalog.ru (далее - сайт ФНС).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Поиск к</w:t>
      </w:r>
      <w:r w:rsidRPr="006E12D8">
        <w:t>лиента осуществляется в соответствии с критериями поиска, указанными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Сведения о клиенте в ЕГРЮЛ (ЕГРИП) предоставляются на сайте ФНС в виде электронного документа формата *.</w:t>
      </w:r>
      <w:proofErr w:type="spellStart"/>
      <w:r w:rsidRPr="006E12D8">
        <w:t>pdf</w:t>
      </w:r>
      <w:proofErr w:type="spellEnd"/>
      <w:r w:rsidRPr="006E12D8">
        <w:t>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Территориальный орган Федерального казначейства осуществляет про</w:t>
      </w:r>
      <w:r w:rsidRPr="006E12D8">
        <w:t>верку Заявления и Карточки, представленных юридическим лицом, данным ЕГРЮЛ на соответствие: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а) полного и сокращенного (при наличии) наименования юридического лица данным раздела "Наименование" ЕГРЮЛ;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 xml:space="preserve">б) идентификационного номера налогоплательщика (далее - </w:t>
      </w:r>
      <w:r w:rsidRPr="006E12D8">
        <w:t>ИНН), кода причины постановки на учет (КПП) данным раздела "Сведения об учете в налоговом органе" ЕГРЮЛ;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в) адреса юридического лица, указанного в Карточке, данным раздела "Адрес (место нахождения)" ЕГРЮЛ;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г) наименования должности и Фамилии, Имени, Отчест</w:t>
      </w:r>
      <w:r w:rsidRPr="006E12D8">
        <w:t>ва руководителя (уполномоченного лица) данным раздела "Сведения о лице, имеющем право без доверенности действовать от имени юридического лица" ЕГРЮЛ (при наличии).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 xml:space="preserve">Территориальный орган Федерального казначейства осуществляет проверку Заявления и Карточки, </w:t>
      </w:r>
      <w:r w:rsidRPr="006E12D8">
        <w:t>представленных индивидуальным предпринимателем, данным ЕГРИП на соответствие: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а) Фамилии, Имени, Отчества руководителя (уполномоченного лица) данным раздела "Фамилия, имя, отчество (при наличии) индивидуального предпринимателя" ЕГРИП;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б) ИНН данным раздела</w:t>
      </w:r>
      <w:r w:rsidRPr="006E12D8">
        <w:t xml:space="preserve"> "Сведения об учете в налоговом органе" ЕГРИП.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3. В соответствии с подпунктом а) пункта 2 Критериев территориальный орган Федерального казначейства осуществляет проверку наличия в отношении клиента информации о принятии решений о ликвидации, о реорганизаци</w:t>
      </w:r>
      <w:r w:rsidRPr="006E12D8">
        <w:t xml:space="preserve">и, об уменьшении уставного капитала, о приобретении обществом с ограниченной ответственностью 20% уставного капитала другого общества, иные сообщения юридических лиц, которые они обязаны публиковать в соответствии с законодательством Российской Федерации, </w:t>
      </w:r>
      <w:r w:rsidRPr="006E12D8">
        <w:t>а также о принятых регистрирующими органами решениях о предстоящем исключении недействующих юридических лиц из ЕГРЮЛ в разделе "Сведения о публикации сообщений в журнале "Вестник государственной регистрации" (далее - сведения о ликвидации, реорганизации, и</w:t>
      </w:r>
      <w:r w:rsidRPr="006E12D8">
        <w:t>сключении из ЕГРЮЛ)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 xml:space="preserve">Сведения о ликвидации, реорганизации, исключении из ЕГРЮЛ находятся на сайте ФНС в информационном ресурсе "Прозрачный бизнес" в разделе "Сведения о публикации сообщений в </w:t>
      </w:r>
      <w:r w:rsidRPr="006E12D8">
        <w:lastRenderedPageBreak/>
        <w:t>журнале "Вестник государственной регистрации", а та</w:t>
      </w:r>
      <w:r w:rsidRPr="006E12D8">
        <w:t>кже в Выписке из ЕГРЮЛ в разделе "Сведения о прекращении".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Поиск клиента осуществляется в соответствии с реквизитами поиска, указанными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считается успешно пройденной при отсутствии клиента в сведениях о ликвидации, реорганизации, искл</w:t>
      </w:r>
      <w:r w:rsidRPr="006E12D8">
        <w:t>ючении из ЕГРЮЛ.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4. В соответствии с подпунктом б) пункта 2 Критериев территориальный орган Федерального казначейства осуществляет проверку наличия информации о банкротстве клиента в информационном ресурсе "Картотека арбитражных дел", размещенного в сети "</w:t>
      </w:r>
      <w:r w:rsidRPr="006E12D8">
        <w:t>Интернет" по адресу: http://www.arbitr.ru (далее - Картотека).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Поиск клиента осуществляется в Картотеке по строке "Участник дела".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считается успешно пройденной при отсутствии дел о банкротстве клиента в информационном меню Картотеки "</w:t>
      </w:r>
      <w:proofErr w:type="spellStart"/>
      <w:r w:rsidRPr="006E12D8">
        <w:t>Банкротные</w:t>
      </w:r>
      <w:proofErr w:type="spellEnd"/>
      <w:r w:rsidRPr="006E12D8">
        <w:t>".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5. В соответствии с подпунктом в) пункта 2 Критериев территориальный орган Федерального казначейства осуществляет проверку наличия в отношении клиента информации об отношениях связанности (</w:t>
      </w:r>
      <w:proofErr w:type="spellStart"/>
      <w:r w:rsidRPr="006E12D8">
        <w:t>аффилированности</w:t>
      </w:r>
      <w:proofErr w:type="spellEnd"/>
      <w:r w:rsidRPr="006E12D8">
        <w:t>) с государственным заказчиком, юридическими лицами</w:t>
      </w:r>
      <w:r w:rsidRPr="006E12D8">
        <w:t xml:space="preserve"> и индивидуальными предпринимателями, являющимися головными исполнителями по государственным контрактам о поставке товаров, выполнении работ, оказании услуг, заключаемым в целях реализации государственного оборонного заказа (далее - государственные контрак</w:t>
      </w:r>
      <w:r w:rsidRPr="006E12D8">
        <w:t>ты), исполнителями по контрактам (договорам), заключаемым в рамках исполнения указанных государственных контрактов, с использованием информационного ресурса "Прозрачный бизнес", размещенного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осуществляется с использованием информацио</w:t>
      </w:r>
      <w:r w:rsidRPr="006E12D8">
        <w:t>нного ресурса "Прозрачный бизнес", размещенного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Поиск клиента осуществляется в соответствии с реквизитами поиска, указанными на сайте ФНС.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Сведения о клиенте в ЕГРЮЛ (ЕГРИП) предоставляются на сайте ФНС в виде электронного документа формата *</w:t>
      </w:r>
      <w:r w:rsidRPr="006E12D8">
        <w:t>.</w:t>
      </w:r>
      <w:proofErr w:type="spellStart"/>
      <w:r w:rsidRPr="006E12D8">
        <w:t>pdf</w:t>
      </w:r>
      <w:proofErr w:type="spellEnd"/>
      <w:r w:rsidRPr="006E12D8">
        <w:t>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осуществляется территориальным органом Федерального казначейства посредством визуального сличения выписки из ЕГРЮЛ (ЕГРИП) клиента, которому открывается лицевой счет, с соответствующими выписками из ЕГРЮЛ (ЕГРИП), содержащими информацию о за</w:t>
      </w:r>
      <w:r w:rsidRPr="006E12D8">
        <w:t>казчике, головном исполнителе по государственному контракту, исполнителе по контрактам (договорам), заключаемым в рамках исполнения государственного контракта (в зависимости от клиента, которому открывается лицевой счет), на предмет наличия либо отсутствия</w:t>
      </w:r>
      <w:r w:rsidRPr="006E12D8">
        <w:t xml:space="preserve"> факта совпадения сведений о лице, имеющем право без доверенности действовать от имени юридического лица либо сведений об учредителях (участниках) юридического лица, либо сведений о фамилии, имени, отчестве (при наличии) индивидуального предпринимателя.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</w:t>
      </w:r>
      <w:r w:rsidRPr="006E12D8">
        <w:t>оверка и сопоставление вышеуказанных сведений осуществляется посредством сверки наименования юридического лица, фамилии, имени, отчества (при наличии), а также ИНН (при наличии) проверяемых лиц.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lastRenderedPageBreak/>
        <w:t>В случае, если отсутствует информация о том, что лицо, имеюще</w:t>
      </w:r>
      <w:r w:rsidRPr="006E12D8">
        <w:t>е право без доверенности действовать от имени юридического лица, либо физическое лицо (индивидуальный предприниматель), либо один из учредителей (участников) юридического лица являются учредителем (участником) либо лицом, имеющим право без доверенности дей</w:t>
      </w:r>
      <w:r w:rsidRPr="006E12D8">
        <w:t>ствовать от имени заказчика, головного исполнителя по государственному контракту, исполнителя по контракту (договору), заключенному в рамках исполнения государственного контракта, то проверка считается успешно пройденной.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6. В соответствии с пунктом 3 Крит</w:t>
      </w:r>
      <w:r w:rsidRPr="006E12D8">
        <w:t>ериев территориальный орган Федерального казначейства выявляет сведения о месте регистрации или месте нахождения клиента в государстве (на территории), включенном (включенной) в перечень государств (территорий), которые не выполняют рекомендации Группы раз</w:t>
      </w:r>
      <w:r w:rsidRPr="006E12D8">
        <w:t>работки финансовых мер борьбы с отмыванием денег (ФАТФ), утвержденный приказом Федеральной службы по финансовому мониторингу от 10 ноября 2011 г. N 361 (далее - Перечень приказа N 361).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 xml:space="preserve">Территориальный орган Федерального казначейства осуществляет проверку </w:t>
      </w:r>
      <w:r w:rsidRPr="006E12D8">
        <w:t>наличия или отсутствия адреса регистрации или адреса (места нахождения) клиента, указанного в Карточке, в Перечне приказа N 361.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считается успешно пройденной при отсутствии государства (территории), указанного в адресе регистрации или адресе (мест</w:t>
      </w:r>
      <w:r w:rsidRPr="006E12D8">
        <w:t>е нахождения) клиента, в Перечне приказа N 361.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7. В соответствии с пунктом 4 Критериев территориальный орган Федерального казначейства осуществляет выявление сведений о регистрации в государстве или на территории, включенных в Перечень государств и террит</w:t>
      </w:r>
      <w:r w:rsidRPr="006E12D8">
        <w:t>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</w:t>
      </w:r>
      <w:r w:rsidRPr="006E12D8">
        <w:t>бря 2007 г. N 108н (далее - Перечень приказа N 108н).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Территориальный орган Федерального казначейства осуществляет проверку наличия или отсутствия адреса регистрации клиента, указанного в Карточке, в Перечне приказа N 108н.</w:t>
      </w:r>
    </w:p>
    <w:p w:rsidR="00000000" w:rsidRPr="006E12D8" w:rsidRDefault="005B4367">
      <w:pPr>
        <w:pStyle w:val="ConsPlusNormal"/>
        <w:spacing w:before="240"/>
        <w:ind w:firstLine="540"/>
        <w:jc w:val="both"/>
      </w:pPr>
      <w:r w:rsidRPr="006E12D8">
        <w:t>Проверка считается успешно пройд</w:t>
      </w:r>
      <w:r w:rsidRPr="006E12D8">
        <w:t>енной при отсутствии государства или территории, указанного в адресе регистрации клиента, в Перечне приказа N 108н.</w:t>
      </w:r>
    </w:p>
    <w:p w:rsidR="00000000" w:rsidRPr="006E12D8" w:rsidRDefault="005B4367">
      <w:pPr>
        <w:pStyle w:val="ConsPlusNormal"/>
        <w:jc w:val="both"/>
      </w:pPr>
    </w:p>
    <w:p w:rsidR="00000000" w:rsidRPr="006E12D8" w:rsidRDefault="005B4367">
      <w:pPr>
        <w:pStyle w:val="ConsPlusNormal"/>
        <w:jc w:val="both"/>
      </w:pPr>
    </w:p>
    <w:p w:rsidR="005B4367" w:rsidRPr="006E12D8" w:rsidRDefault="005B4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4367" w:rsidRPr="006E12D8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67" w:rsidRDefault="005B4367">
      <w:pPr>
        <w:spacing w:after="0" w:line="240" w:lineRule="auto"/>
      </w:pPr>
      <w:r>
        <w:separator/>
      </w:r>
    </w:p>
  </w:endnote>
  <w:endnote w:type="continuationSeparator" w:id="0">
    <w:p w:rsidR="005B4367" w:rsidRDefault="005B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67" w:rsidRDefault="005B4367">
      <w:pPr>
        <w:spacing w:after="0" w:line="240" w:lineRule="auto"/>
      </w:pPr>
      <w:r>
        <w:separator/>
      </w:r>
    </w:p>
  </w:footnote>
  <w:footnote w:type="continuationSeparator" w:id="0">
    <w:p w:rsidR="005B4367" w:rsidRDefault="005B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E12D8" w:rsidRDefault="005B4367" w:rsidP="006E12D8">
    <w:pPr>
      <w:pStyle w:val="a3"/>
    </w:pPr>
    <w:r w:rsidRPr="006E12D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D8"/>
    <w:rsid w:val="005B4367"/>
    <w:rsid w:val="006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4AD45-DE73-42DB-AFD2-780C130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2D8"/>
  </w:style>
  <w:style w:type="paragraph" w:styleId="a5">
    <w:name w:val="footer"/>
    <w:basedOn w:val="a"/>
    <w:link w:val="a6"/>
    <w:uiPriority w:val="99"/>
    <w:unhideWhenUsed/>
    <w:rsid w:val="006E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Казначейства России от 06.02.2020 N 07-04-05/22-2214"О направлении методических рекомендаций"(вместе с "Методическими рекомендациями по проверке документов по критериям приостановления открытия (отказа в открытии) лицевых счетов территориальными </vt:lpstr>
    </vt:vector>
  </TitlesOfParts>
  <Company>КонсультантПлюс Версия 4018.00.50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Казначейства России от 06.02.2020 N 07-04-05/22-2214"О направлении методических рекомендаций"(вместе с "Методическими рекомендациями по проверке документов по критериям приостановления открытия (отказа в открытии) лицевых счетов территориальными</dc:title>
  <dc:subject/>
  <dc:creator>Оля</dc:creator>
  <cp:keywords/>
  <dc:description/>
  <cp:lastModifiedBy>Оля</cp:lastModifiedBy>
  <cp:revision>2</cp:revision>
  <dcterms:created xsi:type="dcterms:W3CDTF">2020-06-23T12:51:00Z</dcterms:created>
  <dcterms:modified xsi:type="dcterms:W3CDTF">2020-06-23T12:51:00Z</dcterms:modified>
</cp:coreProperties>
</file>