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B6" w:rsidRDefault="005F0DB6">
      <w:pPr>
        <w:pStyle w:val="ConsPlusTitlePage"/>
      </w:pPr>
      <w:bookmarkStart w:id="0" w:name="_GoBack"/>
      <w:bookmarkEnd w:id="0"/>
      <w:r>
        <w:br/>
      </w:r>
    </w:p>
    <w:p w:rsidR="005F0DB6" w:rsidRDefault="005F0DB6">
      <w:pPr>
        <w:pStyle w:val="ConsPlusNormal"/>
        <w:jc w:val="both"/>
        <w:outlineLvl w:val="0"/>
      </w:pPr>
    </w:p>
    <w:p w:rsidR="005F0DB6" w:rsidRDefault="005F0DB6">
      <w:pPr>
        <w:pStyle w:val="ConsPlusTitle"/>
        <w:jc w:val="center"/>
      </w:pPr>
      <w:r>
        <w:rPr>
          <w:rFonts w:ascii="Times New Roman" w:hAnsi="Times New Roman" w:cs="Times New Roman"/>
        </w:rPr>
        <w:t>ТОРГОВО-ПРОМЫШЛЕННАЯ ПАЛАТА РОССИЙСКОЙ ФЕДЕРАЦИИ</w:t>
      </w:r>
    </w:p>
    <w:p w:rsidR="005F0DB6" w:rsidRDefault="005F0DB6">
      <w:pPr>
        <w:pStyle w:val="ConsPlusTitle"/>
        <w:jc w:val="center"/>
      </w:pPr>
    </w:p>
    <w:p w:rsidR="005F0DB6" w:rsidRDefault="005F0DB6">
      <w:pPr>
        <w:pStyle w:val="ConsPlusTitle"/>
        <w:jc w:val="center"/>
      </w:pPr>
      <w:r>
        <w:rPr>
          <w:rFonts w:ascii="Times New Roman" w:hAnsi="Times New Roman" w:cs="Times New Roman"/>
        </w:rPr>
        <w:t>ПИСЬМО</w:t>
      </w:r>
    </w:p>
    <w:p w:rsidR="005F0DB6" w:rsidRDefault="005F0DB6">
      <w:pPr>
        <w:pStyle w:val="ConsPlusTitle"/>
        <w:jc w:val="center"/>
      </w:pPr>
      <w:r>
        <w:rPr>
          <w:rFonts w:ascii="Times New Roman" w:hAnsi="Times New Roman" w:cs="Times New Roman"/>
        </w:rPr>
        <w:t>от 17 апреля 2020 г. N 04в/0088</w:t>
      </w:r>
    </w:p>
    <w:p w:rsidR="005F0DB6" w:rsidRDefault="005F0DB6">
      <w:pPr>
        <w:pStyle w:val="ConsPlusTitle"/>
        <w:jc w:val="center"/>
      </w:pPr>
    </w:p>
    <w:p w:rsidR="005F0DB6" w:rsidRDefault="005F0DB6">
      <w:pPr>
        <w:pStyle w:val="ConsPlusTitle"/>
        <w:jc w:val="center"/>
      </w:pPr>
      <w:r>
        <w:rPr>
          <w:rFonts w:ascii="Times New Roman" w:hAnsi="Times New Roman" w:cs="Times New Roman"/>
        </w:rPr>
        <w:t>О ПРЕДОСТАВЛЕНИИ РАЗЪЯСНЕНИЙ</w:t>
      </w:r>
    </w:p>
    <w:p w:rsidR="005F0DB6" w:rsidRDefault="005F0DB6">
      <w:pPr>
        <w:pStyle w:val="ConsPlusNormal"/>
        <w:jc w:val="both"/>
      </w:pPr>
    </w:p>
    <w:p w:rsidR="005F0DB6" w:rsidRDefault="005F0DB6">
      <w:pPr>
        <w:pStyle w:val="ConsPlusNormal"/>
        <w:ind w:firstLine="540"/>
        <w:jc w:val="both"/>
      </w:pPr>
      <w:r>
        <w:rPr>
          <w:rFonts w:ascii="Times New Roman" w:hAnsi="Times New Roman" w:cs="Times New Roman"/>
        </w:rPr>
        <w:t>Торгово-промышленная палата Российской Федерации (ТПП России), рассмотрев обращение по вопросу о разъяснении юридического значения заключений о форс-мажоре, выдаваемых региональными торгово-промышленными палатами, сообщает следующее.</w:t>
      </w:r>
    </w:p>
    <w:p w:rsidR="005F0DB6" w:rsidRDefault="005F0DB6">
      <w:pPr>
        <w:pStyle w:val="ConsPlusNormal"/>
        <w:spacing w:before="220"/>
        <w:ind w:firstLine="540"/>
        <w:jc w:val="both"/>
      </w:pPr>
      <w:r>
        <w:rPr>
          <w:rFonts w:ascii="Times New Roman" w:hAnsi="Times New Roman" w:cs="Times New Roman"/>
        </w:rPr>
        <w:t>ТПП России на основании подпункта "н" пункта 3 статьи 15 Закона Российской Федерации от 07.07.1993 N 5340-1 "О торгово-промышленных палатах в Российской Федерации" (далее - Закон о ТПП) свидетельствует обстоятельства непреодолимой силы (форс-мажора) в соответствии с условиями внешнеторговых сделок и международных договоров Российской Федерации посредством выдачи соответствующих сертификатов.</w:t>
      </w:r>
    </w:p>
    <w:p w:rsidR="005F0DB6" w:rsidRDefault="005F0DB6">
      <w:pPr>
        <w:pStyle w:val="ConsPlusNormal"/>
        <w:spacing w:before="220"/>
        <w:ind w:firstLine="540"/>
        <w:jc w:val="both"/>
      </w:pPr>
      <w:r>
        <w:rPr>
          <w:rFonts w:ascii="Times New Roman" w:hAnsi="Times New Roman" w:cs="Times New Roman"/>
        </w:rPr>
        <w:t>При этом торгово-промышленные палаты субъектов Российской Федерации и муниципальных образований проводят большую работу по консультированию и оказанию заинтересованным лицам помощи в оформлении, комплектовании и представлении в ТПП России соответствующих документов.</w:t>
      </w:r>
    </w:p>
    <w:p w:rsidR="005F0DB6" w:rsidRDefault="005F0DB6">
      <w:pPr>
        <w:pStyle w:val="ConsPlusNormal"/>
        <w:spacing w:before="220"/>
        <w:ind w:firstLine="540"/>
        <w:jc w:val="both"/>
      </w:pPr>
      <w:r>
        <w:rPr>
          <w:rFonts w:ascii="Times New Roman" w:hAnsi="Times New Roman" w:cs="Times New Roman"/>
        </w:rPr>
        <w:t>Необходимо отметить, что согласно пункту 2 статьи 3 Закона о ТПП одной из задач торгово-промышленных палат является содействие урегулированию споров, возникающих между субъектами предпринимательской деятельности.</w:t>
      </w:r>
    </w:p>
    <w:p w:rsidR="005F0DB6" w:rsidRDefault="005F0DB6">
      <w:pPr>
        <w:pStyle w:val="ConsPlusNormal"/>
        <w:spacing w:before="220"/>
        <w:ind w:firstLine="540"/>
        <w:jc w:val="both"/>
      </w:pPr>
      <w:r>
        <w:rPr>
          <w:rFonts w:ascii="Times New Roman" w:hAnsi="Times New Roman" w:cs="Times New Roman"/>
        </w:rPr>
        <w:t>В этой связи торгово-промышленные палаты за последние годы накопили существенный опыт по оформлению заключений об обстоятельствах непреодолимой силы по договорам, заключаемым между российскими хозяйствующими субъектами.</w:t>
      </w:r>
    </w:p>
    <w:p w:rsidR="005F0DB6" w:rsidRDefault="005F0DB6">
      <w:pPr>
        <w:pStyle w:val="ConsPlusNormal"/>
        <w:spacing w:before="220"/>
        <w:ind w:firstLine="540"/>
        <w:jc w:val="both"/>
      </w:pPr>
      <w:r>
        <w:rPr>
          <w:rFonts w:ascii="Times New Roman" w:hAnsi="Times New Roman" w:cs="Times New Roman"/>
        </w:rPr>
        <w:t>Кроме того, Правительственная комиссия по повышению устойчивости развития российской экономики (пункт 1 раздела IV протокола от 20 марта 2020 г. N 3) рекомендовала торгово-промышленным палатам обеспечить проведение процедур свидетельствования обстоятельств непреодолимой силы, возникших при реализации договоров, заключенных в рамках внутрироссийской экономической деятельности.</w:t>
      </w:r>
    </w:p>
    <w:p w:rsidR="005F0DB6" w:rsidRDefault="005F0DB6">
      <w:pPr>
        <w:pStyle w:val="ConsPlusNormal"/>
        <w:spacing w:before="220"/>
        <w:ind w:firstLine="540"/>
        <w:jc w:val="both"/>
      </w:pPr>
      <w:r>
        <w:rPr>
          <w:rFonts w:ascii="Times New Roman" w:hAnsi="Times New Roman" w:cs="Times New Roman"/>
        </w:rPr>
        <w:t>Заключения торгово-промышленных палаты об обстоятельствах непреодолимой силы по договорам, заключаемым между российскими хозяйствующими субъектами, оформляются и выдаются на основании подпунктов "д" и "з" пункта 1 статьи 12 Закона о ТПП, согласно которым торгово-промышленные палаты могут оказывать юридическую, консультационную и иную помощь организациям, индивидуальным предпринимателям и гражданам по вопросам, связанным с предпринимательской деятельностью, а также проводить различные виды экспертиз.</w:t>
      </w:r>
    </w:p>
    <w:p w:rsidR="005F0DB6" w:rsidRDefault="005F0DB6">
      <w:pPr>
        <w:pStyle w:val="ConsPlusNormal"/>
        <w:spacing w:before="220"/>
        <w:ind w:firstLine="540"/>
        <w:jc w:val="both"/>
      </w:pPr>
      <w:r>
        <w:rPr>
          <w:rFonts w:ascii="Times New Roman" w:hAnsi="Times New Roman" w:cs="Times New Roman"/>
        </w:rPr>
        <w:t>Торгово-промышленные палаты в своей деятельности по свидетельствованию обстоятельств непреодолимой силы руководствуются действующим законодательством, в частности, пунктом 3 статьи 401 Гражданского кодекса Российской Федерации, а также постановлением Пленума Верховного Суда Российской Федерации от 24.03.2016 N 7 "О применении судами некоторых положений Гражданского кодекса Российской Федерации об ответственности за нарушение обязательств".</w:t>
      </w:r>
    </w:p>
    <w:p w:rsidR="005F0DB6" w:rsidRDefault="005F0DB6">
      <w:pPr>
        <w:pStyle w:val="ConsPlusNormal"/>
        <w:spacing w:before="220"/>
        <w:ind w:firstLine="540"/>
        <w:jc w:val="both"/>
      </w:pPr>
      <w:r>
        <w:rPr>
          <w:rFonts w:ascii="Times New Roman" w:hAnsi="Times New Roman" w:cs="Times New Roman"/>
        </w:rPr>
        <w:t xml:space="preserve">Таким образом, выдаваемые торгово-промышленными палатами субъектов Российской Федерации заключения об обстоятельствах непреодолимой силы по договорам, заключаемым между российскими хозяйствующими субъектами, являются по своей правовой природе заключением независимой специализированной экспертной организации, которая вправе их выдавать на основании подпунктов "д" и "з" пункта 1 статьи 12 Закона о ТПП, а также пункта 1 </w:t>
      </w:r>
      <w:r>
        <w:rPr>
          <w:rFonts w:ascii="Times New Roman" w:hAnsi="Times New Roman" w:cs="Times New Roman"/>
        </w:rPr>
        <w:lastRenderedPageBreak/>
        <w:t>раздела IV протокола заседания Правительственной комиссии по повышению устойчивости развития российской экономики от 20 марта 2020 г. N 3.</w:t>
      </w:r>
    </w:p>
    <w:p w:rsidR="005F0DB6" w:rsidRDefault="005F0DB6">
      <w:pPr>
        <w:pStyle w:val="ConsPlusNormal"/>
        <w:spacing w:before="220"/>
        <w:ind w:firstLine="540"/>
        <w:jc w:val="both"/>
      </w:pPr>
      <w:r>
        <w:rPr>
          <w:rFonts w:ascii="Times New Roman" w:hAnsi="Times New Roman" w:cs="Times New Roman"/>
        </w:rPr>
        <w:t>Законодательством установлено, что если должник несет ответственность за нарушение обязательства независимо от вины, то на него возлагается бремя доказывания обстоятельств, являющихся основанием для освобождения от такой ответственности, например, обстоятельств непреодолимой силы (пункт 3 статьи 401 ГК РФ).</w:t>
      </w:r>
    </w:p>
    <w:p w:rsidR="005F0DB6" w:rsidRDefault="005F0DB6">
      <w:pPr>
        <w:pStyle w:val="ConsPlusNormal"/>
        <w:spacing w:before="220"/>
        <w:ind w:firstLine="540"/>
        <w:jc w:val="both"/>
      </w:pPr>
      <w:r>
        <w:rPr>
          <w:rFonts w:ascii="Times New Roman" w:hAnsi="Times New Roman" w:cs="Times New Roman"/>
        </w:rPr>
        <w:t>В этой связи указанные заключения на практике применяются стороной сделки в качестве доказательства для решения вопросов с контрагентом по ее освобождению от гражданско-правовой ответственности за неисполнение или ненадлежащее исполнение обязательства вследствие непреодолимой силы, то есть чрезвычайных и непредотвратимых при данных условиях обстоятельств. Заключения торгово-промышленных палат также используются в качестве доказательства при рассмотрении спора между сторонами договора в судебном порядке.</w:t>
      </w:r>
    </w:p>
    <w:p w:rsidR="005F0DB6" w:rsidRDefault="005F0DB6">
      <w:pPr>
        <w:pStyle w:val="ConsPlusNormal"/>
        <w:spacing w:before="220"/>
        <w:ind w:firstLine="540"/>
        <w:jc w:val="both"/>
      </w:pPr>
      <w:r>
        <w:rPr>
          <w:rFonts w:ascii="Times New Roman" w:hAnsi="Times New Roman" w:cs="Times New Roman"/>
        </w:rPr>
        <w:t>Вместе с тем необходимо отметить, что установление наличия или отсутствия обстоятельств непреодолимой силы при исполнении договорных обязательств является правовым вопросом, разрешение которого в случае возникновения спора отнесено к компетенции соответствующего суда.</w:t>
      </w:r>
    </w:p>
    <w:p w:rsidR="005F0DB6" w:rsidRDefault="005F0DB6">
      <w:pPr>
        <w:pStyle w:val="ConsPlusNormal"/>
        <w:jc w:val="both"/>
      </w:pPr>
    </w:p>
    <w:p w:rsidR="005F0DB6" w:rsidRDefault="005F0DB6">
      <w:pPr>
        <w:pStyle w:val="ConsPlusNormal"/>
        <w:jc w:val="right"/>
      </w:pPr>
      <w:r>
        <w:rPr>
          <w:rFonts w:ascii="Times New Roman" w:hAnsi="Times New Roman" w:cs="Times New Roman"/>
        </w:rPr>
        <w:t>Вице-президент</w:t>
      </w:r>
    </w:p>
    <w:p w:rsidR="005F0DB6" w:rsidRDefault="005F0DB6">
      <w:pPr>
        <w:pStyle w:val="ConsPlusNormal"/>
        <w:jc w:val="right"/>
      </w:pPr>
      <w:r>
        <w:rPr>
          <w:rFonts w:ascii="Times New Roman" w:hAnsi="Times New Roman" w:cs="Times New Roman"/>
        </w:rPr>
        <w:t>В.В.ЧУБАРОВ</w:t>
      </w:r>
    </w:p>
    <w:p w:rsidR="005F0DB6" w:rsidRDefault="005F0DB6">
      <w:pPr>
        <w:pStyle w:val="ConsPlusNormal"/>
        <w:jc w:val="both"/>
      </w:pPr>
    </w:p>
    <w:p w:rsidR="005F0DB6" w:rsidRDefault="005F0DB6">
      <w:pPr>
        <w:pStyle w:val="ConsPlusNormal"/>
        <w:jc w:val="both"/>
      </w:pPr>
    </w:p>
    <w:p w:rsidR="005F0DB6" w:rsidRDefault="005F0DB6">
      <w:pPr>
        <w:pStyle w:val="ConsPlusNormal"/>
        <w:pBdr>
          <w:top w:val="single" w:sz="6" w:space="0" w:color="auto"/>
        </w:pBdr>
        <w:spacing w:before="100" w:after="100"/>
        <w:jc w:val="both"/>
        <w:rPr>
          <w:sz w:val="2"/>
          <w:szCs w:val="2"/>
        </w:rPr>
      </w:pPr>
    </w:p>
    <w:p w:rsidR="00591B72" w:rsidRDefault="00591B72"/>
    <w:sectPr w:rsidR="00591B72" w:rsidSect="00513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B6"/>
    <w:rsid w:val="00243272"/>
    <w:rsid w:val="00433B0C"/>
    <w:rsid w:val="0051338F"/>
    <w:rsid w:val="00591B72"/>
    <w:rsid w:val="005F0DB6"/>
    <w:rsid w:val="005F1D20"/>
    <w:rsid w:val="00912A09"/>
    <w:rsid w:val="00DB5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8B738D-7AA4-4B60-AAE2-66A8F057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DB6"/>
    <w:pPr>
      <w:widowControl w:val="0"/>
      <w:autoSpaceDE w:val="0"/>
      <w:autoSpaceDN w:val="0"/>
      <w:spacing w:after="0" w:line="240" w:lineRule="auto"/>
    </w:pPr>
    <w:rPr>
      <w:rFonts w:ascii="Arial" w:hAnsi="Arial" w:cs="Arial"/>
      <w:szCs w:val="20"/>
      <w:lang w:eastAsia="ru-RU"/>
    </w:rPr>
  </w:style>
  <w:style w:type="paragraph" w:customStyle="1" w:styleId="ConsPlusTitle">
    <w:name w:val="ConsPlusTitle"/>
    <w:rsid w:val="005F0DB6"/>
    <w:pPr>
      <w:widowControl w:val="0"/>
      <w:autoSpaceDE w:val="0"/>
      <w:autoSpaceDN w:val="0"/>
      <w:spacing w:after="0" w:line="240" w:lineRule="auto"/>
    </w:pPr>
    <w:rPr>
      <w:rFonts w:ascii="Arial" w:hAnsi="Arial" w:cs="Arial"/>
      <w:b/>
      <w:szCs w:val="20"/>
      <w:lang w:eastAsia="ru-RU"/>
    </w:rPr>
  </w:style>
  <w:style w:type="paragraph" w:customStyle="1" w:styleId="ConsPlusTitlePage">
    <w:name w:val="ConsPlusTitlePage"/>
    <w:rsid w:val="005F0DB6"/>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NPO</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Зимина Марина Александровна</dc:creator>
  <cp:keywords/>
  <dc:description/>
  <cp:lastModifiedBy>Оля</cp:lastModifiedBy>
  <cp:revision>2</cp:revision>
  <dcterms:created xsi:type="dcterms:W3CDTF">2020-05-07T11:34:00Z</dcterms:created>
  <dcterms:modified xsi:type="dcterms:W3CDTF">2020-05-07T11:34:00Z</dcterms:modified>
</cp:coreProperties>
</file>