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районӗ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FB4726" w:rsidP="009E5A2F">
            <w:pPr>
              <w:ind w:left="-392"/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>2019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 w:rsidR="00F315C4">
              <w:rPr>
                <w:sz w:val="26"/>
                <w:szCs w:val="26"/>
              </w:rPr>
              <w:t>. декабр</w:t>
            </w:r>
            <w:r w:rsidR="00927F63">
              <w:rPr>
                <w:bCs/>
                <w:sz w:val="26"/>
                <w:szCs w:val="26"/>
              </w:rPr>
              <w:t>ӗн 17</w:t>
            </w:r>
            <w:r w:rsidR="00F315C4">
              <w:rPr>
                <w:bCs/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- мӗшӗ №</w:t>
            </w:r>
            <w:r w:rsidR="00927F63">
              <w:rPr>
                <w:sz w:val="26"/>
                <w:szCs w:val="26"/>
              </w:rPr>
              <w:t xml:space="preserve"> 760</w:t>
            </w:r>
            <w:r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1719F8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1719F8" w:rsidRDefault="009B7352" w:rsidP="00B6016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1719F8">
              <w:rPr>
                <w:sz w:val="26"/>
                <w:szCs w:val="26"/>
              </w:rPr>
              <w:t>«</w:t>
            </w:r>
            <w:r w:rsidR="00927F63">
              <w:rPr>
                <w:sz w:val="26"/>
                <w:szCs w:val="26"/>
              </w:rPr>
              <w:t>17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r w:rsidR="00F315C4">
              <w:rPr>
                <w:sz w:val="26"/>
                <w:szCs w:val="26"/>
              </w:rPr>
              <w:t>декабря</w:t>
            </w:r>
            <w:r w:rsidR="007400CC">
              <w:rPr>
                <w:sz w:val="26"/>
                <w:szCs w:val="26"/>
              </w:rPr>
              <w:t xml:space="preserve"> 2019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 xml:space="preserve">№ </w:t>
            </w:r>
            <w:r w:rsidR="00927F63">
              <w:rPr>
                <w:sz w:val="26"/>
                <w:szCs w:val="26"/>
              </w:rPr>
              <w:t>760</w:t>
            </w:r>
            <w:bookmarkStart w:id="0" w:name="_GoBack"/>
            <w:bookmarkEnd w:id="0"/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:rsidR="00ED18C7" w:rsidRPr="001719F8" w:rsidRDefault="00315127">
      <w:pPr>
        <w:rPr>
          <w:sz w:val="26"/>
          <w:szCs w:val="26"/>
        </w:rPr>
      </w:pPr>
      <w:r w:rsidRPr="001719F8">
        <w:rPr>
          <w:sz w:val="26"/>
          <w:szCs w:val="26"/>
        </w:rPr>
        <w:t xml:space="preserve"> </w:t>
      </w:r>
    </w:p>
    <w:p w:rsidR="00FB4726" w:rsidRPr="001719F8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1719F8" w:rsidRDefault="00ED18C7">
      <w:pPr>
        <w:pStyle w:val="21"/>
        <w:ind w:right="4135"/>
      </w:pPr>
      <w:r w:rsidRPr="001719F8">
        <w:rPr>
          <w:b w:val="0"/>
        </w:rPr>
        <w:t>О внесении изменений в муниципальную программу Яльчикского района  Чувашской Республики «</w:t>
      </w:r>
      <w:r w:rsidR="0041267A" w:rsidRPr="001719F8">
        <w:rPr>
          <w:b w:val="0"/>
        </w:rPr>
        <w:t>Обеспечение граждан Яльчикского района Чувашской Республики доступным и комфортным жильем</w:t>
      </w:r>
      <w:r w:rsidR="00DE3C3A" w:rsidRPr="001719F8">
        <w:rPr>
          <w:b w:val="0"/>
        </w:rPr>
        <w:t>»</w:t>
      </w:r>
    </w:p>
    <w:p w:rsidR="00ED18C7" w:rsidRPr="001719F8" w:rsidRDefault="00ED18C7">
      <w:pPr>
        <w:jc w:val="both"/>
        <w:rPr>
          <w:b/>
          <w:sz w:val="26"/>
          <w:szCs w:val="26"/>
        </w:rPr>
      </w:pPr>
    </w:p>
    <w:p w:rsidR="00ED18C7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171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1719F8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«</w:t>
      </w:r>
      <w:r w:rsidR="0041267A" w:rsidRPr="001719F8">
        <w:rPr>
          <w:rFonts w:ascii="Times New Roman" w:hAnsi="Times New Roman" w:cs="Times New Roman"/>
          <w:color w:val="000000"/>
          <w:sz w:val="26"/>
          <w:szCs w:val="26"/>
        </w:rPr>
        <w:t>Обеспечение граждан Яльчикского района Чувашской Республики доступным и комфортным жильем»</w:t>
      </w:r>
      <w:r w:rsidR="003D6CEB" w:rsidRPr="001719F8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 w:rsidRPr="001719F8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41267A" w:rsidRPr="001719F8">
        <w:rPr>
          <w:rFonts w:ascii="Times New Roman" w:hAnsi="Times New Roman" w:cs="Times New Roman"/>
          <w:sz w:val="26"/>
          <w:szCs w:val="26"/>
        </w:rPr>
        <w:t>13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ма</w:t>
      </w:r>
      <w:r w:rsidR="003D6CEB" w:rsidRPr="001719F8">
        <w:rPr>
          <w:rFonts w:ascii="Times New Roman" w:hAnsi="Times New Roman" w:cs="Times New Roman"/>
          <w:sz w:val="26"/>
          <w:szCs w:val="26"/>
        </w:rPr>
        <w:t>я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 201</w:t>
      </w:r>
      <w:r w:rsidR="0041267A" w:rsidRPr="001719F8">
        <w:rPr>
          <w:rFonts w:ascii="Times New Roman" w:hAnsi="Times New Roman" w:cs="Times New Roman"/>
          <w:sz w:val="26"/>
          <w:szCs w:val="26"/>
        </w:rPr>
        <w:t>9 года № 322</w:t>
      </w:r>
      <w:r w:rsidR="00043BC7" w:rsidRPr="001719F8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1719F8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3D6CEB" w:rsidRPr="001719F8" w:rsidRDefault="00ED18C7" w:rsidP="00365398">
      <w:pPr>
        <w:spacing w:line="237" w:lineRule="auto"/>
        <w:jc w:val="both"/>
        <w:rPr>
          <w:color w:val="000000"/>
          <w:spacing w:val="-2"/>
          <w:sz w:val="26"/>
          <w:szCs w:val="26"/>
        </w:rPr>
      </w:pPr>
      <w:r w:rsidRPr="001719F8">
        <w:rPr>
          <w:sz w:val="26"/>
          <w:szCs w:val="26"/>
        </w:rPr>
        <w:tab/>
      </w:r>
      <w:r w:rsidR="00C16CBB" w:rsidRPr="001719F8">
        <w:rPr>
          <w:sz w:val="26"/>
          <w:szCs w:val="26"/>
        </w:rPr>
        <w:t>а</w:t>
      </w:r>
      <w:r w:rsidR="00F315C4">
        <w:rPr>
          <w:sz w:val="26"/>
          <w:szCs w:val="26"/>
        </w:rPr>
        <w:t>) в</w:t>
      </w:r>
      <w:r w:rsidRPr="001719F8">
        <w:rPr>
          <w:sz w:val="26"/>
          <w:szCs w:val="26"/>
        </w:rPr>
        <w:t xml:space="preserve"> паспорте </w:t>
      </w:r>
      <w:r w:rsidR="00BC30A1" w:rsidRPr="001719F8">
        <w:rPr>
          <w:sz w:val="26"/>
          <w:szCs w:val="26"/>
        </w:rPr>
        <w:t>М</w:t>
      </w:r>
      <w:r w:rsidRPr="001719F8">
        <w:rPr>
          <w:sz w:val="26"/>
          <w:szCs w:val="26"/>
        </w:rPr>
        <w:t>униципальной программы</w:t>
      </w:r>
      <w:r w:rsidR="00365398" w:rsidRPr="001719F8">
        <w:rPr>
          <w:sz w:val="26"/>
          <w:szCs w:val="26"/>
        </w:rPr>
        <w:t xml:space="preserve"> </w:t>
      </w:r>
      <w:r w:rsidR="003D6CEB" w:rsidRPr="001719F8">
        <w:rPr>
          <w:sz w:val="26"/>
          <w:szCs w:val="26"/>
        </w:rPr>
        <w:t xml:space="preserve">позицию </w:t>
      </w:r>
      <w:r w:rsidRPr="001719F8">
        <w:rPr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</w:rPr>
        <w:t>Объемы финансирования Муниципальной программы с разбивкой по годам реализации</w:t>
      </w:r>
      <w:r w:rsidR="00DE3C3A" w:rsidRPr="001719F8">
        <w:rPr>
          <w:spacing w:val="-2"/>
          <w:sz w:val="26"/>
          <w:szCs w:val="26"/>
        </w:rPr>
        <w:t xml:space="preserve">» </w:t>
      </w:r>
      <w:r w:rsidR="0041267A" w:rsidRPr="001719F8">
        <w:rPr>
          <w:color w:val="000000"/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377"/>
        <w:gridCol w:w="6449"/>
      </w:tblGrid>
      <w:tr w:rsidR="0041267A" w:rsidRPr="001719F8" w:rsidTr="0041267A">
        <w:trPr>
          <w:trHeight w:val="20"/>
        </w:trPr>
        <w:tc>
          <w:tcPr>
            <w:tcW w:w="1540" w:type="pct"/>
          </w:tcPr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2019–2035 годах составляют </w:t>
            </w:r>
            <w:r w:rsidR="00F315C4">
              <w:rPr>
                <w:color w:val="000000"/>
                <w:sz w:val="26"/>
                <w:szCs w:val="26"/>
              </w:rPr>
              <w:t>78720,6</w:t>
            </w:r>
            <w:r w:rsidRPr="001719F8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6165,40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22673,50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22673,50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бюджета –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2682,00</w:t>
            </w:r>
            <w:r w:rsidR="00471840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(3,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процента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2682,00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2022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 –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67538,60 тыс. рублей (85,8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2983,40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20173,50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20173,50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бюджета Яльчикского района Чувашской Республики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8500,00 тыс. рублей (10,8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2500,00 тыс. рублей.</w:t>
            </w:r>
          </w:p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:rsidR="0041267A" w:rsidRPr="001719F8" w:rsidRDefault="00C16CBB" w:rsidP="00AD310B">
      <w:pPr>
        <w:spacing w:line="237" w:lineRule="auto"/>
        <w:ind w:firstLine="708"/>
        <w:jc w:val="both"/>
        <w:rPr>
          <w:color w:val="000000"/>
          <w:sz w:val="26"/>
          <w:szCs w:val="26"/>
        </w:rPr>
      </w:pPr>
      <w:r w:rsidRPr="001719F8">
        <w:rPr>
          <w:color w:val="000000"/>
          <w:sz w:val="26"/>
          <w:szCs w:val="26"/>
        </w:rPr>
        <w:lastRenderedPageBreak/>
        <w:t>б</w:t>
      </w:r>
      <w:r w:rsidR="00ED18C7" w:rsidRPr="001719F8">
        <w:rPr>
          <w:color w:val="000000"/>
          <w:sz w:val="26"/>
          <w:szCs w:val="26"/>
        </w:rPr>
        <w:t xml:space="preserve">) </w:t>
      </w:r>
      <w:r w:rsidR="00F315C4">
        <w:rPr>
          <w:color w:val="000000"/>
          <w:spacing w:val="-2"/>
          <w:sz w:val="26"/>
          <w:szCs w:val="26"/>
        </w:rPr>
        <w:t>р</w:t>
      </w:r>
      <w:r w:rsidR="00DE3C3A" w:rsidRPr="001719F8">
        <w:rPr>
          <w:color w:val="000000"/>
          <w:spacing w:val="-2"/>
          <w:sz w:val="26"/>
          <w:szCs w:val="26"/>
        </w:rPr>
        <w:t xml:space="preserve">аздел </w:t>
      </w:r>
      <w:r w:rsidR="00DE3C3A" w:rsidRPr="001719F8">
        <w:rPr>
          <w:color w:val="000000"/>
          <w:spacing w:val="-2"/>
          <w:sz w:val="26"/>
          <w:szCs w:val="26"/>
          <w:lang w:val="en-US"/>
        </w:rPr>
        <w:t>II</w:t>
      </w:r>
      <w:r w:rsidR="00ED18C7" w:rsidRPr="001719F8">
        <w:rPr>
          <w:color w:val="000000"/>
          <w:spacing w:val="-2"/>
          <w:sz w:val="26"/>
          <w:szCs w:val="26"/>
          <w:lang w:val="en-US"/>
        </w:rPr>
        <w:t>I</w:t>
      </w:r>
      <w:r w:rsidR="00ED18C7" w:rsidRPr="001719F8">
        <w:rPr>
          <w:color w:val="000000"/>
          <w:spacing w:val="-2"/>
          <w:sz w:val="26"/>
          <w:szCs w:val="26"/>
        </w:rPr>
        <w:t xml:space="preserve"> </w:t>
      </w:r>
      <w:r w:rsidR="009517E2" w:rsidRPr="001719F8">
        <w:rPr>
          <w:color w:val="000000"/>
          <w:spacing w:val="-2"/>
          <w:sz w:val="26"/>
          <w:szCs w:val="26"/>
        </w:rPr>
        <w:t>Муниципальной программы</w:t>
      </w:r>
      <w:r w:rsidR="003E3871" w:rsidRPr="001719F8">
        <w:rPr>
          <w:color w:val="000000"/>
          <w:spacing w:val="-2"/>
          <w:sz w:val="26"/>
          <w:szCs w:val="26"/>
        </w:rPr>
        <w:t xml:space="preserve"> </w:t>
      </w:r>
      <w:r w:rsidR="00952CDD" w:rsidRPr="001719F8">
        <w:rPr>
          <w:color w:val="000000"/>
          <w:sz w:val="26"/>
          <w:szCs w:val="26"/>
        </w:rPr>
        <w:t>изложить в следующей редакции</w:t>
      </w:r>
      <w:r w:rsidR="0041267A" w:rsidRPr="001719F8">
        <w:rPr>
          <w:spacing w:val="-2"/>
          <w:sz w:val="26"/>
          <w:szCs w:val="26"/>
        </w:rPr>
        <w:t>:</w:t>
      </w:r>
    </w:p>
    <w:p w:rsidR="0041267A" w:rsidRPr="001719F8" w:rsidRDefault="00AD310B" w:rsidP="00AD310B">
      <w:pPr>
        <w:tabs>
          <w:tab w:val="left" w:pos="567"/>
        </w:tabs>
        <w:jc w:val="both"/>
        <w:rPr>
          <w:color w:val="000000"/>
          <w:sz w:val="26"/>
          <w:szCs w:val="26"/>
          <w:lang w:eastAsia="ru-RU"/>
        </w:rPr>
      </w:pPr>
      <w:r w:rsidRPr="001719F8">
        <w:rPr>
          <w:spacing w:val="-2"/>
          <w:sz w:val="26"/>
          <w:szCs w:val="26"/>
        </w:rPr>
        <w:tab/>
      </w:r>
      <w:r w:rsidR="00ED18C7" w:rsidRPr="001719F8">
        <w:rPr>
          <w:spacing w:val="-2"/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1267A" w:rsidRPr="001719F8" w:rsidRDefault="0041267A" w:rsidP="00AD310B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 xml:space="preserve">Финансовое обеспечение реализации </w:t>
      </w:r>
      <w:r w:rsidRPr="001719F8">
        <w:rPr>
          <w:color w:val="000000"/>
          <w:sz w:val="26"/>
          <w:szCs w:val="26"/>
        </w:rPr>
        <w:t xml:space="preserve">Муниципальной </w:t>
      </w:r>
      <w:r w:rsidRPr="001719F8">
        <w:rPr>
          <w:color w:val="000000"/>
          <w:sz w:val="26"/>
          <w:szCs w:val="26"/>
          <w:lang w:eastAsia="ru-RU"/>
        </w:rPr>
        <w:t>программы осуществляется за счет средств республиканского бюджета Чувашской Республики.</w:t>
      </w:r>
    </w:p>
    <w:p w:rsidR="0041267A" w:rsidRPr="001719F8" w:rsidRDefault="0041267A" w:rsidP="00AD310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Общий объем финансирования Муниципальной программы в 2019–2035 годах составляет </w:t>
      </w:r>
      <w:r w:rsidR="00F315C4">
        <w:rPr>
          <w:rFonts w:ascii="Times New Roman" w:hAnsi="Times New Roman" w:cs="Times New Roman"/>
          <w:color w:val="000000"/>
          <w:sz w:val="26"/>
          <w:szCs w:val="26"/>
        </w:rPr>
        <w:t>78720,60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тыс. рублей, в том числе 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федерального бюджета – </w:t>
      </w:r>
      <w:r w:rsidR="00F315C4">
        <w:rPr>
          <w:rFonts w:ascii="Times New Roman" w:hAnsi="Times New Roman" w:cs="Times New Roman"/>
          <w:color w:val="000000"/>
          <w:sz w:val="26"/>
          <w:szCs w:val="26"/>
        </w:rPr>
        <w:t>2682,00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республиканского бюджета Чувашской Республики – </w:t>
      </w:r>
      <w:r w:rsidR="00F315C4">
        <w:rPr>
          <w:rFonts w:ascii="Times New Roman" w:hAnsi="Times New Roman" w:cs="Times New Roman"/>
          <w:color w:val="000000"/>
          <w:sz w:val="26"/>
          <w:szCs w:val="26"/>
        </w:rPr>
        <w:t>67538,60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бюджета Яльчикского района Чувашской Республики – 8500,00 тыс. рублей </w:t>
      </w:r>
      <w:hyperlink w:anchor="P69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(табл. 2)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267A" w:rsidRPr="001719F8" w:rsidRDefault="0041267A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F315C4" w:rsidRDefault="00F315C4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41267A" w:rsidRPr="001719F8" w:rsidRDefault="0041267A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lastRenderedPageBreak/>
        <w:t>Таблица 2</w:t>
      </w:r>
    </w:p>
    <w:p w:rsidR="0041267A" w:rsidRPr="001719F8" w:rsidRDefault="0041267A" w:rsidP="0041267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tbl>
      <w:tblPr>
        <w:tblW w:w="49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689"/>
        <w:gridCol w:w="1527"/>
        <w:gridCol w:w="1703"/>
        <w:gridCol w:w="1437"/>
        <w:gridCol w:w="1544"/>
      </w:tblGrid>
      <w:tr w:rsidR="0041267A" w:rsidRPr="001719F8" w:rsidTr="00365398">
        <w:tc>
          <w:tcPr>
            <w:tcW w:w="1020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3980" w:type="pct"/>
            <w:gridSpan w:val="5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41267A" w:rsidRPr="001719F8" w:rsidTr="00365398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1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1719F8" w:rsidTr="00365398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9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8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республикан-ский бюджет Чувашской Республики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778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внебюджет-ные источники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Всего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2019–2035 годы,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78720,60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2682,00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67538,60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8500,00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33373,60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F315C4" w:rsidP="00365398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2682,00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27191,60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6165,40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F315C4" w:rsidP="00365398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2682,00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F315C4" w:rsidP="00365398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2983,40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  <w:r w:rsidR="00F315C4">
              <w:t>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  <w:r w:rsidR="00F315C4">
              <w:t>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  <w:r w:rsidR="00F315C4">
              <w:t>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  <w:r w:rsidR="00F315C4">
              <w:t>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II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45347,00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40347,00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5000,00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</w:tbl>
    <w:p w:rsidR="0041267A" w:rsidRPr="001719F8" w:rsidRDefault="0041267A" w:rsidP="0041267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p w:rsidR="0041267A" w:rsidRPr="001719F8" w:rsidRDefault="0041267A" w:rsidP="0041267A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D39F0" w:rsidRPr="001719F8" w:rsidRDefault="0041267A" w:rsidP="0041267A">
      <w:pPr>
        <w:autoSpaceDE w:val="0"/>
        <w:autoSpaceDN w:val="0"/>
        <w:ind w:firstLine="709"/>
        <w:jc w:val="both"/>
        <w:rPr>
          <w:spacing w:val="2"/>
        </w:rPr>
      </w:pPr>
      <w:r w:rsidRPr="001719F8">
        <w:rPr>
          <w:color w:val="000000"/>
          <w:sz w:val="26"/>
          <w:szCs w:val="26"/>
          <w:lang w:eastAsia="ru-RU"/>
        </w:rPr>
        <w:t xml:space="preserve">Ресурсное </w:t>
      </w:r>
      <w:hyperlink w:anchor="P3745" w:history="1">
        <w:r w:rsidRPr="001719F8">
          <w:rPr>
            <w:color w:val="000000"/>
            <w:sz w:val="26"/>
            <w:szCs w:val="26"/>
            <w:lang w:eastAsia="ru-RU"/>
          </w:rPr>
          <w:t>обеспечение</w:t>
        </w:r>
      </w:hyperlink>
      <w:r w:rsidRPr="001719F8">
        <w:rPr>
          <w:color w:val="000000"/>
          <w:sz w:val="26"/>
          <w:szCs w:val="26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  <w:r w:rsidR="00AD39F0" w:rsidRPr="001719F8">
        <w:rPr>
          <w:spacing w:val="2"/>
        </w:rPr>
        <w:t>»;</w:t>
      </w:r>
    </w:p>
    <w:p w:rsidR="00AD310B" w:rsidRPr="001719F8" w:rsidRDefault="00AD310B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r w:rsidRPr="001719F8">
        <w:rPr>
          <w:sz w:val="26"/>
          <w:szCs w:val="26"/>
        </w:rPr>
        <w:t>в</w:t>
      </w:r>
      <w:r w:rsidR="00B50649" w:rsidRPr="001719F8">
        <w:rPr>
          <w:sz w:val="26"/>
          <w:szCs w:val="26"/>
        </w:rPr>
        <w:t xml:space="preserve">) </w:t>
      </w:r>
      <w:r w:rsidR="00F315C4">
        <w:rPr>
          <w:sz w:val="26"/>
          <w:szCs w:val="26"/>
        </w:rPr>
        <w:t>п</w:t>
      </w:r>
      <w:r w:rsidR="0041267A" w:rsidRPr="001719F8">
        <w:rPr>
          <w:sz w:val="26"/>
          <w:szCs w:val="26"/>
        </w:rPr>
        <w:t>риложение №2</w:t>
      </w:r>
      <w:r w:rsidR="004F0285" w:rsidRPr="001719F8">
        <w:rPr>
          <w:sz w:val="26"/>
          <w:szCs w:val="26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41267A" w:rsidRPr="008642F5" w:rsidRDefault="00AD310B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2"/>
          <w:sz w:val="26"/>
          <w:szCs w:val="26"/>
        </w:rPr>
      </w:pPr>
      <w:r w:rsidRPr="008642F5">
        <w:rPr>
          <w:sz w:val="26"/>
          <w:szCs w:val="26"/>
        </w:rPr>
        <w:t xml:space="preserve">г) </w:t>
      </w:r>
      <w:r w:rsidR="00F315C4">
        <w:rPr>
          <w:sz w:val="26"/>
          <w:szCs w:val="26"/>
        </w:rPr>
        <w:t>в</w:t>
      </w:r>
      <w:r w:rsidR="0041267A" w:rsidRPr="008642F5">
        <w:rPr>
          <w:sz w:val="26"/>
          <w:szCs w:val="26"/>
        </w:rPr>
        <w:t xml:space="preserve"> паспорте подпрограммы </w:t>
      </w:r>
      <w:r w:rsidR="0041267A" w:rsidRPr="008642F5">
        <w:rPr>
          <w:b/>
          <w:sz w:val="26"/>
          <w:szCs w:val="26"/>
        </w:rPr>
        <w:t xml:space="preserve"> </w:t>
      </w:r>
      <w:r w:rsidR="0041267A" w:rsidRPr="008642F5">
        <w:rPr>
          <w:sz w:val="26"/>
          <w:szCs w:val="26"/>
        </w:rPr>
        <w:t>«Поддержка строительства жилья в Яльчикском районе Чувашской Республики»</w:t>
      </w:r>
      <w:r w:rsidR="0041267A" w:rsidRPr="008642F5">
        <w:rPr>
          <w:b/>
          <w:sz w:val="26"/>
          <w:szCs w:val="26"/>
        </w:rPr>
        <w:t xml:space="preserve"> </w:t>
      </w:r>
      <w:r w:rsidR="0041267A" w:rsidRPr="008642F5">
        <w:rPr>
          <w:sz w:val="26"/>
          <w:szCs w:val="26"/>
        </w:rPr>
        <w:t>Муниципальной программы позицию «Объемы финансиро</w:t>
      </w:r>
      <w:r w:rsidR="0041267A" w:rsidRPr="008642F5">
        <w:rPr>
          <w:sz w:val="26"/>
          <w:szCs w:val="26"/>
        </w:rPr>
        <w:softHyphen/>
        <w:t>вания подпрограм</w:t>
      </w:r>
      <w:r w:rsidR="0041267A" w:rsidRPr="008642F5">
        <w:rPr>
          <w:sz w:val="26"/>
          <w:szCs w:val="26"/>
        </w:rPr>
        <w:softHyphen/>
        <w:t xml:space="preserve">мы с разбивкой по годам реализации подпрограммы» </w:t>
      </w:r>
      <w:r w:rsidR="0041267A" w:rsidRPr="008642F5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367"/>
        <w:gridCol w:w="6891"/>
      </w:tblGrid>
      <w:tr w:rsidR="0041267A" w:rsidRPr="008642F5" w:rsidTr="0036539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AD310B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>Объемы финансиро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 подпрограм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в 2019–2035 годах составляет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61370,30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4237,50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17854,00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17854,00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 средства: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–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2682,00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4 процента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2682,00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50188,30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1,7 процент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1055,50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15354,00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15354,00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бюджета Яльчикского района Чувашской Республики – 8500,00 тыс. рублей (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13,9</w:t>
            </w:r>
            <w:r w:rsidR="00585B06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2019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2500,00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2500,00 тыс. рублей.</w:t>
            </w:r>
          </w:p>
          <w:p w:rsidR="0041267A" w:rsidRPr="008642F5" w:rsidRDefault="0041267A" w:rsidP="008642F5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AD310B" w:rsidRPr="008642F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41267A" w:rsidRPr="008642F5" w:rsidRDefault="00AD310B" w:rsidP="00AD310B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lastRenderedPageBreak/>
        <w:t xml:space="preserve">д) </w:t>
      </w:r>
      <w:r w:rsidR="00F315C4">
        <w:rPr>
          <w:rFonts w:ascii="Times New Roman" w:hAnsi="Times New Roman" w:cs="Times New Roman"/>
          <w:sz w:val="26"/>
          <w:szCs w:val="26"/>
        </w:rPr>
        <w:t>р</w:t>
      </w:r>
      <w:r w:rsidR="0041267A" w:rsidRPr="008642F5">
        <w:rPr>
          <w:rFonts w:ascii="Times New Roman" w:hAnsi="Times New Roman" w:cs="Times New Roman"/>
          <w:sz w:val="26"/>
          <w:szCs w:val="26"/>
        </w:rPr>
        <w:t xml:space="preserve">аздел IV подпрограммы  «Поддержка строительства жилья в </w:t>
      </w:r>
      <w:r w:rsidRPr="008642F5">
        <w:rPr>
          <w:rFonts w:ascii="Times New Roman" w:hAnsi="Times New Roman" w:cs="Times New Roman"/>
          <w:sz w:val="26"/>
          <w:szCs w:val="26"/>
        </w:rPr>
        <w:t>Я</w:t>
      </w:r>
      <w:r w:rsidR="0041267A" w:rsidRPr="008642F5">
        <w:rPr>
          <w:rFonts w:ascii="Times New Roman" w:hAnsi="Times New Roman" w:cs="Times New Roman"/>
          <w:sz w:val="26"/>
          <w:szCs w:val="26"/>
        </w:rPr>
        <w:t xml:space="preserve">льчикском районе Чувашской Республики» Муниципальной программы </w:t>
      </w:r>
      <w:r w:rsidR="0041267A"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41267A" w:rsidRPr="008642F5" w:rsidRDefault="0041267A" w:rsidP="00AD3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«Раздел IV. Обоснование объема финансовых ресурсов, необходимых для реализации подпрограммы 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Яльчикского района Чувашской Республики.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F315C4">
        <w:rPr>
          <w:rFonts w:ascii="Times New Roman" w:hAnsi="Times New Roman" w:cs="Times New Roman"/>
          <w:sz w:val="26"/>
          <w:szCs w:val="26"/>
        </w:rPr>
        <w:t>61370,30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рублей, в том числе средства: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F315C4">
        <w:rPr>
          <w:rFonts w:ascii="Times New Roman" w:hAnsi="Times New Roman" w:cs="Times New Roman"/>
          <w:sz w:val="26"/>
          <w:szCs w:val="26"/>
        </w:rPr>
        <w:t>2682,00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F315C4">
        <w:rPr>
          <w:rFonts w:ascii="Times New Roman" w:hAnsi="Times New Roman" w:cs="Times New Roman"/>
          <w:sz w:val="26"/>
          <w:szCs w:val="26"/>
        </w:rPr>
        <w:t>50188,30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lastRenderedPageBreak/>
        <w:t>бюджета Яльчикского района Чувашской Республики – 8500,00 тыс. рублей.</w:t>
      </w:r>
    </w:p>
    <w:p w:rsidR="0041267A" w:rsidRPr="008642F5" w:rsidRDefault="0041267A" w:rsidP="0041267A">
      <w:pPr>
        <w:autoSpaceDE w:val="0"/>
        <w:autoSpaceDN w:val="0"/>
        <w:ind w:firstLine="680"/>
        <w:jc w:val="both"/>
        <w:rPr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8642F5" w:rsidTr="00365398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t>Источники финансирования, рублей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местные бюджеты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внебюджетные источники</w:t>
            </w:r>
          </w:p>
        </w:tc>
      </w:tr>
    </w:tbl>
    <w:p w:rsidR="0041267A" w:rsidRPr="001719F8" w:rsidRDefault="0041267A" w:rsidP="0041267A">
      <w:pPr>
        <w:rPr>
          <w:color w:val="000000"/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1719F8" w:rsidTr="00365398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Всего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2019–2035 годы, </w:t>
            </w:r>
            <w:r w:rsidRPr="001719F8">
              <w:rPr>
                <w:b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61370,30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2682,00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50188,30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8500,00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0,0</w:t>
            </w:r>
            <w:r w:rsidR="00D57204">
              <w:rPr>
                <w:b/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25662,30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2682,00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19480,30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  <w:r w:rsidR="00D57204">
              <w:rPr>
                <w:i/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4237,50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2682,00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1055,50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35708,00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  <w:r w:rsidR="00D57204"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30708,00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5000,00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  <w:r w:rsidR="00D57204">
              <w:rPr>
                <w:i/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15354,00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15354,00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</w:tbl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При составлении республиканского бюджета Чувашской Республики и бюджета Яльчикского района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3822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№ 1 к настоящей подпрограмме.»;</w:t>
      </w:r>
    </w:p>
    <w:p w:rsidR="00AD310B" w:rsidRPr="001719F8" w:rsidRDefault="00AD310B" w:rsidP="00AD310B">
      <w:pPr>
        <w:ind w:firstLine="708"/>
        <w:jc w:val="both"/>
        <w:rPr>
          <w:sz w:val="26"/>
          <w:szCs w:val="26"/>
        </w:rPr>
      </w:pPr>
      <w:r w:rsidRPr="001719F8">
        <w:rPr>
          <w:color w:val="000000"/>
          <w:sz w:val="26"/>
          <w:szCs w:val="26"/>
          <w:lang w:eastAsia="ru-RU"/>
        </w:rPr>
        <w:t xml:space="preserve">е) </w:t>
      </w:r>
      <w:r w:rsidR="00987255">
        <w:rPr>
          <w:sz w:val="26"/>
          <w:szCs w:val="26"/>
        </w:rPr>
        <w:t>п</w:t>
      </w:r>
      <w:r w:rsidR="00365398" w:rsidRPr="001719F8">
        <w:rPr>
          <w:sz w:val="26"/>
          <w:szCs w:val="26"/>
        </w:rPr>
        <w:t xml:space="preserve">риложение к подпрограмме 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color w:val="000000"/>
          <w:sz w:val="26"/>
          <w:szCs w:val="26"/>
        </w:rPr>
        <w:t>«Поддержка строительства жилья в Яльчикском районе Чувашской Республики»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sz w:val="26"/>
          <w:szCs w:val="26"/>
        </w:rPr>
        <w:t>Муниципальной программы изложить в новой редакции согласно приложению</w:t>
      </w:r>
      <w:r w:rsidR="00987255">
        <w:rPr>
          <w:sz w:val="26"/>
          <w:szCs w:val="26"/>
        </w:rPr>
        <w:t xml:space="preserve"> № 2 к настоящему постановлению.</w:t>
      </w:r>
    </w:p>
    <w:p w:rsidR="00ED18C7" w:rsidRPr="001719F8" w:rsidRDefault="00ED18C7" w:rsidP="00D42366">
      <w:pPr>
        <w:ind w:firstLine="708"/>
        <w:jc w:val="both"/>
        <w:rPr>
          <w:spacing w:val="-2"/>
          <w:sz w:val="26"/>
          <w:szCs w:val="26"/>
        </w:rPr>
      </w:pPr>
      <w:r w:rsidRPr="001719F8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1719F8">
        <w:rPr>
          <w:spacing w:val="-2"/>
          <w:sz w:val="26"/>
          <w:szCs w:val="26"/>
        </w:rPr>
        <w:t xml:space="preserve">официального </w:t>
      </w:r>
      <w:r w:rsidR="00F108F0" w:rsidRPr="001719F8">
        <w:rPr>
          <w:sz w:val="26"/>
          <w:szCs w:val="26"/>
        </w:rPr>
        <w:t>опубликования.</w:t>
      </w:r>
    </w:p>
    <w:p w:rsidR="001C59E1" w:rsidRPr="001719F8" w:rsidRDefault="001C59E1" w:rsidP="00D42366">
      <w:pPr>
        <w:ind w:firstLine="708"/>
        <w:jc w:val="both"/>
        <w:rPr>
          <w:sz w:val="26"/>
          <w:szCs w:val="26"/>
        </w:rPr>
      </w:pPr>
    </w:p>
    <w:p w:rsidR="00ED18C7" w:rsidRPr="001719F8" w:rsidRDefault="00ED18C7">
      <w:pPr>
        <w:jc w:val="both"/>
        <w:rPr>
          <w:color w:val="000000"/>
          <w:sz w:val="26"/>
          <w:szCs w:val="26"/>
        </w:rPr>
      </w:pPr>
    </w:p>
    <w:p w:rsidR="00ED18C7" w:rsidRPr="001719F8" w:rsidRDefault="00653A3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ED18C7" w:rsidRPr="001719F8">
        <w:rPr>
          <w:sz w:val="26"/>
          <w:szCs w:val="26"/>
        </w:rPr>
        <w:t xml:space="preserve"> администрации      </w:t>
      </w:r>
    </w:p>
    <w:p w:rsidR="00ED18C7" w:rsidRPr="001719F8" w:rsidRDefault="00ED18C7">
      <w:pPr>
        <w:jc w:val="both"/>
        <w:rPr>
          <w:sz w:val="26"/>
          <w:szCs w:val="26"/>
        </w:rPr>
        <w:sectPr w:rsidR="00ED18C7" w:rsidRPr="001719F8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1719F8">
        <w:rPr>
          <w:sz w:val="26"/>
          <w:szCs w:val="26"/>
        </w:rPr>
        <w:t xml:space="preserve">Яльчикского района                                                                                </w:t>
      </w:r>
      <w:r w:rsidR="00653A3C">
        <w:rPr>
          <w:sz w:val="26"/>
          <w:szCs w:val="26"/>
        </w:rPr>
        <w:t>Л.В. Левый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от _____________ № ____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    </w:t>
      </w:r>
    </w:p>
    <w:p w:rsidR="00165626" w:rsidRPr="00AF624E" w:rsidRDefault="00165626" w:rsidP="0044447A">
      <w:pPr>
        <w:autoSpaceDE w:val="0"/>
        <w:autoSpaceDN w:val="0"/>
        <w:ind w:left="10026" w:right="-456"/>
        <w:jc w:val="right"/>
        <w:rPr>
          <w:color w:val="000000"/>
          <w:lang w:eastAsia="ru-RU"/>
        </w:rPr>
      </w:pPr>
      <w:r w:rsidRPr="00AF624E">
        <w:rPr>
          <w:color w:val="000000"/>
          <w:lang w:eastAsia="ru-RU"/>
        </w:rPr>
        <w:t>Приложение № 2</w:t>
      </w:r>
    </w:p>
    <w:p w:rsidR="00165626" w:rsidRPr="00AF624E" w:rsidRDefault="00165626" w:rsidP="0044447A">
      <w:pPr>
        <w:autoSpaceDE w:val="0"/>
        <w:autoSpaceDN w:val="0"/>
        <w:ind w:left="10026" w:right="-456"/>
        <w:jc w:val="right"/>
        <w:rPr>
          <w:color w:val="000000"/>
          <w:lang w:eastAsia="ru-RU"/>
        </w:rPr>
      </w:pPr>
      <w:r w:rsidRPr="00AF624E">
        <w:rPr>
          <w:color w:val="000000"/>
          <w:lang w:eastAsia="ru-RU"/>
        </w:rPr>
        <w:t xml:space="preserve">к муниципальной программе Яльчикского района Чувашской Республики </w:t>
      </w:r>
      <w:r w:rsidRPr="00AF624E">
        <w:rPr>
          <w:color w:val="000000"/>
        </w:rPr>
        <w:t xml:space="preserve">«Обеспечение граждан Яльчикского района Чувашской Республики доступным и комфортным жильем» </w:t>
      </w:r>
    </w:p>
    <w:p w:rsidR="00165626" w:rsidRPr="001719F8" w:rsidRDefault="00165626" w:rsidP="0016562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165626" w:rsidRPr="001719F8" w:rsidRDefault="00165626" w:rsidP="00165626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 муниципальной программы Яльчикского района Чувашской Республики</w:t>
      </w:r>
      <w:r w:rsidRPr="001719F8">
        <w:rPr>
          <w:b/>
          <w:color w:val="000000"/>
          <w:sz w:val="26"/>
          <w:szCs w:val="26"/>
        </w:rPr>
        <w:t xml:space="preserve"> «Обеспечение граждан Яльчикского района Чувашской Республики доступным и комфортным жильем»</w:t>
      </w:r>
    </w:p>
    <w:p w:rsidR="00165626" w:rsidRPr="001719F8" w:rsidRDefault="00165626" w:rsidP="00165626">
      <w:pPr>
        <w:ind w:firstLine="680"/>
        <w:jc w:val="both"/>
        <w:rPr>
          <w:color w:val="000000"/>
          <w:sz w:val="26"/>
          <w:szCs w:val="26"/>
        </w:rPr>
      </w:pPr>
    </w:p>
    <w:tbl>
      <w:tblPr>
        <w:tblW w:w="1578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719F8" w:rsidTr="00AF624E">
        <w:trPr>
          <w:trHeight w:val="20"/>
        </w:trPr>
        <w:tc>
          <w:tcPr>
            <w:tcW w:w="840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ind w:hanging="6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Республики, основного мероприятия</w:t>
            </w:r>
          </w:p>
        </w:tc>
        <w:tc>
          <w:tcPr>
            <w:tcW w:w="1862" w:type="dxa"/>
            <w:gridSpan w:val="2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97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638" w:type="dxa"/>
            <w:gridSpan w:val="9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целевая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статья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597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165626" w:rsidRPr="001719F8" w:rsidRDefault="00165626" w:rsidP="00165626">
      <w:pPr>
        <w:rPr>
          <w:color w:val="000000"/>
          <w:sz w:val="2"/>
          <w:szCs w:val="2"/>
        </w:rPr>
      </w:pPr>
    </w:p>
    <w:tbl>
      <w:tblPr>
        <w:tblW w:w="1578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719F8" w:rsidTr="00AF624E">
        <w:trPr>
          <w:trHeight w:val="20"/>
          <w:tblHeader/>
        </w:trPr>
        <w:tc>
          <w:tcPr>
            <w:tcW w:w="840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Муниципальная програм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ма Яльчикского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района Чувашской Республики</w:t>
            </w:r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«Обеспечение граждан </w:t>
            </w:r>
            <w:r w:rsidRPr="001719F8">
              <w:rPr>
                <w:b/>
                <w:color w:val="000000"/>
                <w:sz w:val="18"/>
                <w:szCs w:val="18"/>
              </w:rPr>
              <w:t xml:space="preserve">Яльчикского района Чувашской Республики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доступным и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комфортным жильем»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987255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6165,40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165626" w:rsidRPr="001719F8" w:rsidRDefault="00987255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133" w:type="dxa"/>
          </w:tcPr>
          <w:p w:rsidR="00165626" w:rsidRPr="001719F8" w:rsidRDefault="00987255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2983,40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20173,50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20173,50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 w:val="restart"/>
          </w:tcPr>
          <w:p w:rsidR="00165626" w:rsidRPr="001719F8" w:rsidRDefault="00660285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31811" w:history="1">
              <w:r w:rsidR="00165626" w:rsidRPr="001719F8">
                <w:rPr>
                  <w:b/>
                  <w:color w:val="000000"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«Поддержка строитель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ства жилья в</w:t>
            </w:r>
            <w:r w:rsidR="00D57204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Яльчикском районе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 Чувашской Республике»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987255" w:rsidP="0016562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4237,50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461759" w:rsidRPr="001719F8" w:rsidTr="00AF624E">
        <w:trPr>
          <w:trHeight w:val="20"/>
        </w:trPr>
        <w:tc>
          <w:tcPr>
            <w:tcW w:w="840" w:type="dxa"/>
            <w:vMerge/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461759" w:rsidRPr="001719F8" w:rsidRDefault="00987255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61759" w:rsidRPr="001719F8" w:rsidTr="00AF624E">
        <w:trPr>
          <w:trHeight w:val="20"/>
        </w:trPr>
        <w:tc>
          <w:tcPr>
            <w:tcW w:w="840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461759" w:rsidRPr="001719F8" w:rsidRDefault="00987255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1055,50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</w:tr>
      <w:tr w:rsidR="00461759" w:rsidRPr="001719F8" w:rsidTr="00AF624E">
        <w:trPr>
          <w:trHeight w:val="20"/>
        </w:trPr>
        <w:tc>
          <w:tcPr>
            <w:tcW w:w="840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Реализация отдельных мероприятий ре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гионального проекта «Жилье»</w:t>
            </w:r>
          </w:p>
        </w:tc>
        <w:tc>
          <w:tcPr>
            <w:tcW w:w="728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4237,50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1055,50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93" w:type="dxa"/>
          </w:tcPr>
          <w:p w:rsidR="00987255" w:rsidRDefault="00987255" w:rsidP="00987255">
            <w:pPr>
              <w:jc w:val="center"/>
            </w:pPr>
            <w:r w:rsidRPr="00E074D0"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92" w:type="dxa"/>
          </w:tcPr>
          <w:p w:rsidR="00987255" w:rsidRDefault="00987255" w:rsidP="00987255">
            <w:pPr>
              <w:jc w:val="center"/>
            </w:pPr>
            <w:r w:rsidRPr="00E074D0"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92" w:type="dxa"/>
          </w:tcPr>
          <w:p w:rsidR="00987255" w:rsidRDefault="00987255" w:rsidP="00987255">
            <w:pPr>
              <w:jc w:val="center"/>
            </w:pPr>
            <w:r w:rsidRPr="00E074D0"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92" w:type="dxa"/>
          </w:tcPr>
          <w:p w:rsidR="00987255" w:rsidRDefault="00987255" w:rsidP="00987255">
            <w:pPr>
              <w:jc w:val="center"/>
            </w:pPr>
            <w:r w:rsidRPr="00E074D0"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134" w:type="dxa"/>
          </w:tcPr>
          <w:p w:rsidR="00987255" w:rsidRDefault="00987255" w:rsidP="00987255">
            <w:pPr>
              <w:jc w:val="center"/>
            </w:pPr>
            <w:r w:rsidRPr="00E074D0"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contextualSpacing/>
              <w:jc w:val="center"/>
              <w:rPr>
                <w:sz w:val="18"/>
                <w:szCs w:val="18"/>
              </w:rPr>
            </w:pPr>
            <w:r w:rsidRPr="00987255">
              <w:rPr>
                <w:sz w:val="18"/>
                <w:szCs w:val="18"/>
              </w:rPr>
              <w:t>15354,00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contextualSpacing/>
              <w:jc w:val="center"/>
              <w:rPr>
                <w:sz w:val="18"/>
                <w:szCs w:val="18"/>
              </w:rPr>
            </w:pPr>
            <w:r w:rsidRPr="00987255">
              <w:rPr>
                <w:sz w:val="18"/>
                <w:szCs w:val="18"/>
              </w:rPr>
              <w:t>15354,00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Обеспечение жилищного строительства земельными участками</w:t>
            </w: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 w:val="restart"/>
          </w:tcPr>
          <w:p w:rsidR="00987255" w:rsidRPr="001719F8" w:rsidRDefault="0066028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46807" w:history="1">
              <w:r w:rsidR="00987255" w:rsidRPr="001719F8">
                <w:rPr>
                  <w:b/>
                  <w:color w:val="000000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1845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х</w:t>
            </w:r>
          </w:p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х</w:t>
            </w:r>
          </w:p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х</w:t>
            </w:r>
          </w:p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х</w:t>
            </w:r>
          </w:p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жилищного фонда по договорам найма специализированных жилых помещений</w:t>
            </w: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внебюджетные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65626" w:rsidRPr="001719F8" w:rsidRDefault="00165626" w:rsidP="00165626">
      <w:pPr>
        <w:jc w:val="both"/>
        <w:rPr>
          <w:color w:val="000000"/>
          <w:sz w:val="26"/>
          <w:szCs w:val="26"/>
        </w:rPr>
      </w:pPr>
    </w:p>
    <w:p w:rsidR="00440C96" w:rsidRPr="001719F8" w:rsidRDefault="00987255" w:rsidP="00987255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987255" w:rsidRDefault="00987255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AF624E" w:rsidRDefault="00AF624E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AF624E" w:rsidRDefault="00AF624E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AF624E" w:rsidRPr="001719F8" w:rsidRDefault="00AF624E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lastRenderedPageBreak/>
        <w:t xml:space="preserve">Приложение № 2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от _____________ № ____  </w:t>
      </w:r>
    </w:p>
    <w:p w:rsidR="0044447A" w:rsidRPr="00987255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987255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987255" w:rsidRDefault="00440C96" w:rsidP="0044447A">
      <w:pPr>
        <w:pStyle w:val="ConsPlusNormal"/>
        <w:widowControl/>
        <w:ind w:left="9606" w:right="-45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8725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440C96" w:rsidRPr="00987255" w:rsidRDefault="00440C96" w:rsidP="0044447A">
      <w:pPr>
        <w:pStyle w:val="ConsPlusNormal"/>
        <w:widowControl/>
        <w:ind w:left="9606" w:right="-4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7255">
        <w:rPr>
          <w:rFonts w:ascii="Times New Roman" w:hAnsi="Times New Roman" w:cs="Times New Roman"/>
          <w:color w:val="000000"/>
          <w:sz w:val="24"/>
          <w:szCs w:val="24"/>
        </w:rPr>
        <w:t>к подпрограмме «Поддержка строительства жилья в Яльчикском районе Чувашской Республики» муниципальной программы Яльчикского района Чувашской Республики «Обеспечение граждан в Яльчикском районе Чувашской Республики доступным и</w:t>
      </w:r>
      <w:r w:rsidRPr="009872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комфортным жильем» </w:t>
      </w:r>
    </w:p>
    <w:p w:rsidR="00440C96" w:rsidRPr="00987255" w:rsidRDefault="00440C96" w:rsidP="0044447A">
      <w:pPr>
        <w:pStyle w:val="ConsPlusNormal"/>
        <w:widowControl/>
        <w:ind w:right="-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1719F8" w:rsidRDefault="00440C96" w:rsidP="00440C9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440C96" w:rsidRPr="001719F8" w:rsidRDefault="00440C96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реализации подпрограммы «Поддержка строительства жилья в Яльчикском районе Чувашской Республики» </w:t>
      </w:r>
    </w:p>
    <w:p w:rsidR="00440C96" w:rsidRPr="001719F8" w:rsidRDefault="00987255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</w:t>
      </w:r>
      <w:r w:rsidR="00440C96"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пальной программы Яльчикского района Чувашской Республики «Обеспечение граждан Яльчикского района Чувашской Республики доступным и комфортным жильем» за счет всех источников финансирования </w:t>
      </w: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tbl>
      <w:tblPr>
        <w:tblW w:w="15856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"/>
        <w:gridCol w:w="1357"/>
        <w:gridCol w:w="1007"/>
        <w:gridCol w:w="817"/>
        <w:gridCol w:w="753"/>
        <w:gridCol w:w="484"/>
        <w:gridCol w:w="528"/>
        <w:gridCol w:w="575"/>
        <w:gridCol w:w="1030"/>
        <w:gridCol w:w="942"/>
        <w:gridCol w:w="948"/>
        <w:gridCol w:w="972"/>
        <w:gridCol w:w="948"/>
        <w:gridCol w:w="948"/>
        <w:gridCol w:w="948"/>
        <w:gridCol w:w="924"/>
        <w:gridCol w:w="1008"/>
        <w:gridCol w:w="984"/>
      </w:tblGrid>
      <w:tr w:rsidR="00440C96" w:rsidRPr="001719F8" w:rsidTr="00AF624E">
        <w:trPr>
          <w:trHeight w:val="20"/>
        </w:trPr>
        <w:tc>
          <w:tcPr>
            <w:tcW w:w="683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81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340" w:type="dxa"/>
            <w:gridSpan w:val="4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30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22" w:type="dxa"/>
            <w:gridSpan w:val="9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40C96" w:rsidRPr="001719F8" w:rsidTr="00AF624E">
        <w:trPr>
          <w:trHeight w:val="207"/>
        </w:trPr>
        <w:tc>
          <w:tcPr>
            <w:tcW w:w="68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4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528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це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вая статья расходов</w:t>
            </w:r>
          </w:p>
        </w:tc>
        <w:tc>
          <w:tcPr>
            <w:tcW w:w="575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030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2" w:type="dxa"/>
            <w:gridSpan w:val="9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</w:tr>
      <w:tr w:rsidR="00440C96" w:rsidRPr="001719F8" w:rsidTr="00AF624E">
        <w:trPr>
          <w:trHeight w:val="20"/>
        </w:trPr>
        <w:tc>
          <w:tcPr>
            <w:tcW w:w="68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4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0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84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2031–2035</w:t>
            </w:r>
          </w:p>
        </w:tc>
      </w:tr>
    </w:tbl>
    <w:p w:rsidR="00440C96" w:rsidRPr="001719F8" w:rsidRDefault="00440C96" w:rsidP="00440C96">
      <w:pPr>
        <w:rPr>
          <w:color w:val="000000"/>
          <w:sz w:val="2"/>
          <w:szCs w:val="2"/>
        </w:rPr>
      </w:pPr>
    </w:p>
    <w:tbl>
      <w:tblPr>
        <w:tblW w:w="1588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1357"/>
        <w:gridCol w:w="1007"/>
        <w:gridCol w:w="816"/>
        <w:gridCol w:w="752"/>
        <w:gridCol w:w="492"/>
        <w:gridCol w:w="528"/>
        <w:gridCol w:w="579"/>
        <w:gridCol w:w="1032"/>
        <w:gridCol w:w="941"/>
        <w:gridCol w:w="947"/>
        <w:gridCol w:w="971"/>
        <w:gridCol w:w="947"/>
        <w:gridCol w:w="947"/>
        <w:gridCol w:w="947"/>
        <w:gridCol w:w="923"/>
        <w:gridCol w:w="1007"/>
        <w:gridCol w:w="983"/>
      </w:tblGrid>
      <w:tr w:rsidR="00440C96" w:rsidRPr="001719F8" w:rsidTr="00AF624E">
        <w:trPr>
          <w:trHeight w:val="20"/>
          <w:tblHeader/>
        </w:trPr>
        <w:tc>
          <w:tcPr>
            <w:tcW w:w="7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Под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программа</w:t>
            </w:r>
          </w:p>
        </w:tc>
        <w:tc>
          <w:tcPr>
            <w:tcW w:w="135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«Поддержка строительства жилья в Яльчикском районе Чувашской Республики»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4237,50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1055,50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83" w:type="dxa"/>
            <w:gridSpan w:val="18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  <w:lang w:eastAsia="ru-RU"/>
              </w:rPr>
            </w:pP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Цель «Создание условий, обеспечивающих доступность жилья для граждан в Яльчикском районе Чувашской Республики»</w:t>
            </w: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ство арендного жилья </w:t>
            </w: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4237,50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1055,50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семей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37,8*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39,6*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1.1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 xml:space="preserve"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4234,90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17841,00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17841,00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F5378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F5378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440C96" w:rsidRPr="00987255" w:rsidRDefault="00440C96" w:rsidP="0098725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 w:rsidR="00987255">
              <w:rPr>
                <w:color w:val="000000"/>
                <w:sz w:val="18"/>
                <w:szCs w:val="18"/>
                <w:lang w:eastAsia="ru-RU"/>
              </w:rPr>
              <w:t>03</w:t>
            </w:r>
            <w:r w:rsidR="00987255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987255" w:rsidRPr="001719F8" w:rsidRDefault="00987255" w:rsidP="009872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987255" w:rsidRPr="00F5378F" w:rsidRDefault="00987255" w:rsidP="00987255">
            <w:pPr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987255" w:rsidRPr="00987255" w:rsidRDefault="00987255" w:rsidP="0098725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auto" w:fill="auto"/>
          </w:tcPr>
          <w:p w:rsidR="00987255" w:rsidRPr="001719F8" w:rsidRDefault="00987255" w:rsidP="00987255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987255" w:rsidRPr="001719F8" w:rsidRDefault="00987255" w:rsidP="00987255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1052,90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71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23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007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15341,00</w:t>
            </w:r>
          </w:p>
        </w:tc>
        <w:tc>
          <w:tcPr>
            <w:tcW w:w="983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15341,00</w:t>
            </w:r>
          </w:p>
        </w:tc>
      </w:tr>
      <w:tr w:rsidR="00987255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987255" w:rsidRPr="001719F8" w:rsidRDefault="00987255" w:rsidP="009872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987255" w:rsidRPr="00F5378F" w:rsidRDefault="00987255" w:rsidP="00987255">
            <w:pPr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987255" w:rsidRPr="00987255" w:rsidRDefault="00987255" w:rsidP="0098725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987255" w:rsidRPr="001719F8" w:rsidRDefault="00987255" w:rsidP="00987255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987255" w:rsidRPr="001719F8" w:rsidRDefault="00987255" w:rsidP="00987255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719F8">
              <w:rPr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sz w:val="18"/>
                <w:szCs w:val="18"/>
                <w:lang w:eastAsia="ru-RU"/>
              </w:rPr>
              <w:softHyphen/>
              <w:t>тие 1.2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719F8">
              <w:rPr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</w:t>
            </w:r>
            <w:r w:rsidRPr="001719F8">
              <w:rPr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1719F8">
              <w:rPr>
                <w:sz w:val="18"/>
                <w:szCs w:val="18"/>
                <w:lang w:eastAsia="ru-RU"/>
              </w:rPr>
              <w:softHyphen/>
              <w:t>ю</w:t>
            </w:r>
            <w:r w:rsidRPr="001719F8">
              <w:rPr>
                <w:sz w:val="18"/>
                <w:szCs w:val="18"/>
                <w:lang w:eastAsia="ru-RU"/>
              </w:rPr>
              <w:softHyphen/>
              <w:t>щих право на государственну</w:t>
            </w:r>
            <w:r w:rsidRPr="001719F8">
              <w:rPr>
                <w:sz w:val="18"/>
                <w:szCs w:val="18"/>
                <w:lang w:eastAsia="ru-RU"/>
              </w:rPr>
              <w:lastRenderedPageBreak/>
              <w:t>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1719F8">
              <w:rPr>
                <w:sz w:val="18"/>
                <w:szCs w:val="18"/>
                <w:lang w:eastAsia="ru-RU"/>
              </w:rPr>
              <w:softHyphen/>
              <w:t xml:space="preserve">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</w:t>
            </w:r>
            <w:r w:rsidRPr="001719F8">
              <w:rPr>
                <w:sz w:val="18"/>
                <w:szCs w:val="18"/>
                <w:lang w:eastAsia="ru-RU"/>
              </w:rPr>
              <w:lastRenderedPageBreak/>
              <w:t>жилых помещениях и имею</w:t>
            </w:r>
            <w:r w:rsidRPr="001719F8">
              <w:rPr>
                <w:sz w:val="18"/>
                <w:szCs w:val="18"/>
                <w:lang w:eastAsia="ru-RU"/>
              </w:rPr>
              <w:softHyphen/>
              <w:t>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</w:t>
            </w:r>
            <w:r w:rsidRPr="001719F8">
              <w:rPr>
                <w:sz w:val="18"/>
                <w:szCs w:val="18"/>
                <w:lang w:eastAsia="ru-RU"/>
              </w:rPr>
              <w:softHyphen/>
              <w:t xml:space="preserve">риторий 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А21F112980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lastRenderedPageBreak/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</w:rPr>
              <w:softHyphen/>
              <w:t>тие 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жилищного строительства земельными участками</w:t>
            </w: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</w:t>
            </w: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</w:t>
            </w: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под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программы, увязанные с ос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 xml:space="preserve">новным мероприятием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Коэффициент доступности жилья для населения со средним достатком, лет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3,7*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3,2*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Подготовка предложений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>ных участках, находящихся в государственной, муниципальной собственности, земельных участках, государственная собственность на ко</w:t>
            </w:r>
            <w:r w:rsidRPr="001719F8">
              <w:rPr>
                <w:color w:val="000000"/>
                <w:sz w:val="18"/>
                <w:szCs w:val="18"/>
              </w:rPr>
              <w:softHyphen/>
              <w:t>торые не разграничена, под размещение ин</w:t>
            </w:r>
            <w:r w:rsidRPr="001719F8">
              <w:rPr>
                <w:color w:val="000000"/>
                <w:sz w:val="18"/>
                <w:szCs w:val="18"/>
              </w:rPr>
              <w:softHyphen/>
              <w:t>вестиционных объектов жилищного строительства, в том числе стандарт</w:t>
            </w:r>
            <w:r w:rsidRPr="001719F8">
              <w:rPr>
                <w:color w:val="000000"/>
                <w:sz w:val="18"/>
                <w:szCs w:val="18"/>
              </w:rPr>
              <w:softHyphen/>
              <w:t xml:space="preserve">ного жилья, и объектов </w:t>
            </w:r>
            <w:r w:rsidRPr="001719F8">
              <w:rPr>
                <w:color w:val="000000"/>
                <w:sz w:val="18"/>
                <w:szCs w:val="18"/>
              </w:rPr>
              <w:lastRenderedPageBreak/>
              <w:t>инфраструктуры для размещения в Едином информационном ресурсе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>ных участках, расположенных на территории Чувашской Республики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40C96" w:rsidRPr="001719F8" w:rsidRDefault="00440C96" w:rsidP="00440C96">
      <w:pPr>
        <w:autoSpaceDE w:val="0"/>
        <w:autoSpaceDN w:val="0"/>
        <w:rPr>
          <w:color w:val="000000"/>
          <w:sz w:val="16"/>
          <w:szCs w:val="16"/>
          <w:lang w:eastAsia="ru-RU"/>
        </w:rPr>
      </w:pPr>
      <w:r w:rsidRPr="001719F8">
        <w:rPr>
          <w:color w:val="000000"/>
          <w:sz w:val="16"/>
          <w:szCs w:val="16"/>
          <w:lang w:eastAsia="ru-RU"/>
        </w:rPr>
        <w:lastRenderedPageBreak/>
        <w:t>________________</w:t>
      </w:r>
    </w:p>
    <w:p w:rsidR="00440C96" w:rsidRPr="001719F8" w:rsidRDefault="00440C96" w:rsidP="00440C96">
      <w:pPr>
        <w:autoSpaceDE w:val="0"/>
        <w:autoSpaceDN w:val="0"/>
        <w:jc w:val="both"/>
        <w:rPr>
          <w:color w:val="000000"/>
          <w:sz w:val="16"/>
          <w:szCs w:val="16"/>
          <w:lang w:eastAsia="ru-RU"/>
        </w:rPr>
      </w:pPr>
      <w:r w:rsidRPr="001719F8">
        <w:rPr>
          <w:color w:val="000000"/>
          <w:sz w:val="16"/>
          <w:szCs w:val="16"/>
          <w:lang w:eastAsia="ru-RU"/>
        </w:rPr>
        <w:t>* Значения показателей на конец соответствующего периода.</w:t>
      </w:r>
    </w:p>
    <w:p w:rsidR="00440C96" w:rsidRPr="001719F8" w:rsidRDefault="00440C96" w:rsidP="00440C96">
      <w:pPr>
        <w:jc w:val="both"/>
        <w:rPr>
          <w:color w:val="000000"/>
          <w:sz w:val="26"/>
          <w:szCs w:val="26"/>
        </w:rPr>
      </w:pPr>
    </w:p>
    <w:p w:rsidR="00440C96" w:rsidRPr="001719F8" w:rsidRDefault="00987255" w:rsidP="00440C9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</w:t>
      </w:r>
      <w:r w:rsidR="00440C96" w:rsidRPr="001719F8">
        <w:rPr>
          <w:color w:val="000000"/>
          <w:sz w:val="26"/>
          <w:szCs w:val="26"/>
        </w:rPr>
        <w:t>____________</w:t>
      </w: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Default="00165626" w:rsidP="00440C96">
      <w:pPr>
        <w:jc w:val="both"/>
        <w:rPr>
          <w:color w:val="000000"/>
          <w:sz w:val="26"/>
          <w:szCs w:val="26"/>
        </w:rPr>
      </w:pPr>
    </w:p>
    <w:p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DF2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85" w:rsidRDefault="00660285">
      <w:r>
        <w:separator/>
      </w:r>
    </w:p>
  </w:endnote>
  <w:endnote w:type="continuationSeparator" w:id="0">
    <w:p w:rsidR="00660285" w:rsidRDefault="0066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653A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653A3C">
    <w:pPr>
      <w:pStyle w:val="af4"/>
      <w:jc w:val="right"/>
    </w:pPr>
  </w:p>
  <w:p w:rsidR="00653A3C" w:rsidRDefault="00653A3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653A3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85" w:rsidRDefault="00660285">
      <w:r>
        <w:separator/>
      </w:r>
    </w:p>
  </w:footnote>
  <w:footnote w:type="continuationSeparator" w:id="0">
    <w:p w:rsidR="00660285" w:rsidRDefault="0066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653A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660285">
    <w:pPr>
      <w:pStyle w:val="ad"/>
      <w:rPr>
        <w:rFonts w:ascii="Times New Roman" w:hAnsi="Times New Roman" w:cs="Times New Roman"/>
        <w:sz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4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53A3C" w:rsidRDefault="00653A3C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653A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C7"/>
    <w:rsid w:val="00021309"/>
    <w:rsid w:val="00030421"/>
    <w:rsid w:val="00043BC7"/>
    <w:rsid w:val="00045827"/>
    <w:rsid w:val="00061C32"/>
    <w:rsid w:val="00084EE2"/>
    <w:rsid w:val="00090D45"/>
    <w:rsid w:val="000A536C"/>
    <w:rsid w:val="000B1671"/>
    <w:rsid w:val="000B6A9F"/>
    <w:rsid w:val="000B6D21"/>
    <w:rsid w:val="000D7565"/>
    <w:rsid w:val="00101597"/>
    <w:rsid w:val="001208F2"/>
    <w:rsid w:val="00130107"/>
    <w:rsid w:val="00145641"/>
    <w:rsid w:val="00165626"/>
    <w:rsid w:val="001719F8"/>
    <w:rsid w:val="0018217C"/>
    <w:rsid w:val="00194ECB"/>
    <w:rsid w:val="001B186A"/>
    <w:rsid w:val="001B409B"/>
    <w:rsid w:val="001C3EA7"/>
    <w:rsid w:val="001C59E1"/>
    <w:rsid w:val="001E33C1"/>
    <w:rsid w:val="001F4723"/>
    <w:rsid w:val="001F4802"/>
    <w:rsid w:val="002173F1"/>
    <w:rsid w:val="00236924"/>
    <w:rsid w:val="00294578"/>
    <w:rsid w:val="002B4496"/>
    <w:rsid w:val="002E7315"/>
    <w:rsid w:val="002E795F"/>
    <w:rsid w:val="00303D5F"/>
    <w:rsid w:val="00314A9A"/>
    <w:rsid w:val="00315127"/>
    <w:rsid w:val="00365398"/>
    <w:rsid w:val="003C61E1"/>
    <w:rsid w:val="003C727A"/>
    <w:rsid w:val="003D6CEB"/>
    <w:rsid w:val="003E1BA1"/>
    <w:rsid w:val="003E3871"/>
    <w:rsid w:val="00401475"/>
    <w:rsid w:val="004014C1"/>
    <w:rsid w:val="0041267A"/>
    <w:rsid w:val="00413AC4"/>
    <w:rsid w:val="00433ACB"/>
    <w:rsid w:val="00440C96"/>
    <w:rsid w:val="004434F8"/>
    <w:rsid w:val="0044447A"/>
    <w:rsid w:val="00461759"/>
    <w:rsid w:val="00471840"/>
    <w:rsid w:val="00484B7E"/>
    <w:rsid w:val="00490405"/>
    <w:rsid w:val="004A2C95"/>
    <w:rsid w:val="004B28CE"/>
    <w:rsid w:val="004F0285"/>
    <w:rsid w:val="005020A0"/>
    <w:rsid w:val="00555B66"/>
    <w:rsid w:val="00560944"/>
    <w:rsid w:val="0056540B"/>
    <w:rsid w:val="0057120D"/>
    <w:rsid w:val="00585B06"/>
    <w:rsid w:val="00594623"/>
    <w:rsid w:val="005C04B9"/>
    <w:rsid w:val="006001C8"/>
    <w:rsid w:val="006072EA"/>
    <w:rsid w:val="00617651"/>
    <w:rsid w:val="006425A9"/>
    <w:rsid w:val="0065224E"/>
    <w:rsid w:val="00653A3C"/>
    <w:rsid w:val="00655F0E"/>
    <w:rsid w:val="00660285"/>
    <w:rsid w:val="0066426B"/>
    <w:rsid w:val="00673494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86346"/>
    <w:rsid w:val="007873EE"/>
    <w:rsid w:val="007E169F"/>
    <w:rsid w:val="007F4D56"/>
    <w:rsid w:val="007F76DB"/>
    <w:rsid w:val="008079DB"/>
    <w:rsid w:val="00813CB5"/>
    <w:rsid w:val="0082368D"/>
    <w:rsid w:val="00842035"/>
    <w:rsid w:val="00842308"/>
    <w:rsid w:val="00847776"/>
    <w:rsid w:val="008642F5"/>
    <w:rsid w:val="008729A4"/>
    <w:rsid w:val="00884AEF"/>
    <w:rsid w:val="008D6E63"/>
    <w:rsid w:val="0090252B"/>
    <w:rsid w:val="00927F63"/>
    <w:rsid w:val="00934157"/>
    <w:rsid w:val="009517E2"/>
    <w:rsid w:val="00952CDD"/>
    <w:rsid w:val="00954409"/>
    <w:rsid w:val="00967714"/>
    <w:rsid w:val="00971006"/>
    <w:rsid w:val="00974C86"/>
    <w:rsid w:val="00975066"/>
    <w:rsid w:val="00975A62"/>
    <w:rsid w:val="0098465A"/>
    <w:rsid w:val="00987255"/>
    <w:rsid w:val="009B28B6"/>
    <w:rsid w:val="009B7352"/>
    <w:rsid w:val="009E1ECD"/>
    <w:rsid w:val="009E5A2F"/>
    <w:rsid w:val="009F6160"/>
    <w:rsid w:val="00A26718"/>
    <w:rsid w:val="00A51B78"/>
    <w:rsid w:val="00A6097C"/>
    <w:rsid w:val="00A637ED"/>
    <w:rsid w:val="00A709CB"/>
    <w:rsid w:val="00AA082F"/>
    <w:rsid w:val="00AA4031"/>
    <w:rsid w:val="00AB46EF"/>
    <w:rsid w:val="00AC0E34"/>
    <w:rsid w:val="00AC4431"/>
    <w:rsid w:val="00AD310B"/>
    <w:rsid w:val="00AD39F0"/>
    <w:rsid w:val="00AE614C"/>
    <w:rsid w:val="00AF1949"/>
    <w:rsid w:val="00AF624E"/>
    <w:rsid w:val="00AF7967"/>
    <w:rsid w:val="00B01348"/>
    <w:rsid w:val="00B425B1"/>
    <w:rsid w:val="00B42A8B"/>
    <w:rsid w:val="00B45FB0"/>
    <w:rsid w:val="00B50649"/>
    <w:rsid w:val="00B60162"/>
    <w:rsid w:val="00B60B3E"/>
    <w:rsid w:val="00B6104F"/>
    <w:rsid w:val="00B6390B"/>
    <w:rsid w:val="00B96D94"/>
    <w:rsid w:val="00BA71C3"/>
    <w:rsid w:val="00BA7C00"/>
    <w:rsid w:val="00BA7D94"/>
    <w:rsid w:val="00BC30A1"/>
    <w:rsid w:val="00BC642F"/>
    <w:rsid w:val="00BC6D75"/>
    <w:rsid w:val="00BD0F42"/>
    <w:rsid w:val="00BE7356"/>
    <w:rsid w:val="00BF2F95"/>
    <w:rsid w:val="00C126DF"/>
    <w:rsid w:val="00C16CBB"/>
    <w:rsid w:val="00C3682C"/>
    <w:rsid w:val="00C42F55"/>
    <w:rsid w:val="00C44862"/>
    <w:rsid w:val="00C779F2"/>
    <w:rsid w:val="00C94FC7"/>
    <w:rsid w:val="00CB162D"/>
    <w:rsid w:val="00CB5CD8"/>
    <w:rsid w:val="00CE12FE"/>
    <w:rsid w:val="00CF732C"/>
    <w:rsid w:val="00D14C9E"/>
    <w:rsid w:val="00D15A6F"/>
    <w:rsid w:val="00D408A8"/>
    <w:rsid w:val="00D42366"/>
    <w:rsid w:val="00D5687B"/>
    <w:rsid w:val="00D568C2"/>
    <w:rsid w:val="00D56A88"/>
    <w:rsid w:val="00D57204"/>
    <w:rsid w:val="00D57837"/>
    <w:rsid w:val="00D83AA0"/>
    <w:rsid w:val="00DA6396"/>
    <w:rsid w:val="00DB41D4"/>
    <w:rsid w:val="00DE3C3A"/>
    <w:rsid w:val="00DF22DF"/>
    <w:rsid w:val="00DF5367"/>
    <w:rsid w:val="00E12819"/>
    <w:rsid w:val="00E3644B"/>
    <w:rsid w:val="00E46493"/>
    <w:rsid w:val="00E70839"/>
    <w:rsid w:val="00E87380"/>
    <w:rsid w:val="00EA4CEA"/>
    <w:rsid w:val="00EB5410"/>
    <w:rsid w:val="00ED16FB"/>
    <w:rsid w:val="00ED18C7"/>
    <w:rsid w:val="00F108F0"/>
    <w:rsid w:val="00F26E32"/>
    <w:rsid w:val="00F315C4"/>
    <w:rsid w:val="00F338B1"/>
    <w:rsid w:val="00F5378F"/>
    <w:rsid w:val="00F729D8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0DF3-AD0A-4E02-B314-82DA7293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24779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Чувайкина</cp:lastModifiedBy>
  <cp:revision>12</cp:revision>
  <cp:lastPrinted>2019-12-17T11:54:00Z</cp:lastPrinted>
  <dcterms:created xsi:type="dcterms:W3CDTF">2019-07-02T05:22:00Z</dcterms:created>
  <dcterms:modified xsi:type="dcterms:W3CDTF">2020-01-31T07:32:00Z</dcterms:modified>
</cp:coreProperties>
</file>