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4F" w:rsidRPr="00F00BBC" w:rsidRDefault="00597D4F" w:rsidP="00597D4F">
      <w:pPr>
        <w:jc w:val="right"/>
        <w:rPr>
          <w:lang w:val="en-US"/>
        </w:rPr>
      </w:pPr>
      <w:bookmarkStart w:id="0" w:name="_GoBack"/>
      <w:bookmarkEnd w:id="0"/>
    </w:p>
    <w:p w:rsidR="00597D4F" w:rsidRDefault="00597D4F" w:rsidP="00597D4F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noProof/>
          <w:color w:val="000000"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2545715</wp:posOffset>
            </wp:positionH>
            <wp:positionV relativeFrom="paragraph">
              <wp:posOffset>-57150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597D4F" w:rsidTr="00D240D1">
        <w:trPr>
          <w:cantSplit/>
          <w:trHeight w:val="542"/>
        </w:trPr>
        <w:tc>
          <w:tcPr>
            <w:tcW w:w="4161" w:type="dxa"/>
          </w:tcPr>
          <w:p w:rsidR="00597D4F" w:rsidRDefault="00597D4F" w:rsidP="00D240D1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97D4F" w:rsidRDefault="00597D4F" w:rsidP="00D240D1">
            <w:pPr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225" w:type="dxa"/>
            <w:vMerge w:val="restart"/>
          </w:tcPr>
          <w:p w:rsidR="00597D4F" w:rsidRDefault="00597D4F" w:rsidP="00D240D1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597D4F" w:rsidRDefault="00597D4F" w:rsidP="00D240D1">
            <w:pPr>
              <w:spacing w:line="192" w:lineRule="auto"/>
              <w:jc w:val="center"/>
              <w:rPr>
                <w:rStyle w:val="a4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4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597D4F" w:rsidRDefault="00597D4F" w:rsidP="00D240D1">
            <w:pPr>
              <w:spacing w:line="192" w:lineRule="auto"/>
              <w:jc w:val="center"/>
            </w:pPr>
          </w:p>
        </w:tc>
      </w:tr>
      <w:tr w:rsidR="00597D4F" w:rsidTr="00D240D1">
        <w:trPr>
          <w:cantSplit/>
          <w:trHeight w:val="1785"/>
        </w:trPr>
        <w:tc>
          <w:tcPr>
            <w:tcW w:w="4161" w:type="dxa"/>
          </w:tcPr>
          <w:p w:rsidR="00597D4F" w:rsidRDefault="00597D4F" w:rsidP="00D240D1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КАНАШ РАЙОНĚН</w:t>
            </w:r>
          </w:p>
          <w:p w:rsidR="00597D4F" w:rsidRDefault="00597D4F" w:rsidP="00D240D1">
            <w:pPr>
              <w:spacing w:before="20" w:line="192" w:lineRule="auto"/>
              <w:jc w:val="center"/>
              <w:rPr>
                <w:rStyle w:val="a4"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4"/>
                <w:noProof/>
                <w:color w:val="000000"/>
                <w:sz w:val="26"/>
              </w:rPr>
              <w:t xml:space="preserve"> </w:t>
            </w:r>
          </w:p>
          <w:p w:rsidR="00597D4F" w:rsidRDefault="00597D4F" w:rsidP="00D240D1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597D4F" w:rsidRDefault="00597D4F" w:rsidP="00D240D1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597D4F" w:rsidRDefault="00597D4F" w:rsidP="00D240D1"/>
          <w:p w:rsidR="00597D4F" w:rsidRPr="00315CB0" w:rsidRDefault="00315CB0" w:rsidP="00D240D1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</w:pPr>
            <w:r w:rsidRPr="00315C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13.08.2021</w:t>
            </w:r>
            <w:r w:rsidR="00597D4F" w:rsidRPr="00315C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№ </w:t>
            </w:r>
            <w:r w:rsidRPr="00315C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10/11</w:t>
            </w:r>
          </w:p>
          <w:p w:rsidR="00597D4F" w:rsidRDefault="00597D4F" w:rsidP="00D240D1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Канаш хули</w:t>
            </w:r>
          </w:p>
        </w:tc>
        <w:tc>
          <w:tcPr>
            <w:tcW w:w="1225" w:type="dxa"/>
            <w:vMerge/>
          </w:tcPr>
          <w:p w:rsidR="00597D4F" w:rsidRDefault="00597D4F" w:rsidP="00D240D1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597D4F" w:rsidRDefault="00597D4F" w:rsidP="00D240D1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597D4F" w:rsidRDefault="00597D4F" w:rsidP="00D240D1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КАНАШСКОГО РАЙОНА</w:t>
            </w:r>
          </w:p>
          <w:p w:rsidR="00597D4F" w:rsidRDefault="00597D4F" w:rsidP="00D240D1">
            <w:pPr>
              <w:pStyle w:val="2"/>
              <w:keepNext w:val="0"/>
              <w:spacing w:line="192" w:lineRule="auto"/>
            </w:pPr>
          </w:p>
          <w:p w:rsidR="00597D4F" w:rsidRDefault="00597D4F" w:rsidP="00D240D1">
            <w:pPr>
              <w:pStyle w:val="2"/>
              <w:keepNext w:val="0"/>
              <w:spacing w:line="192" w:lineRule="auto"/>
            </w:pPr>
            <w:r>
              <w:t>РЕШЕНИЕ</w:t>
            </w:r>
          </w:p>
          <w:p w:rsidR="00597D4F" w:rsidRDefault="00597D4F" w:rsidP="00D240D1"/>
          <w:p w:rsidR="00597D4F" w:rsidRPr="00315CB0" w:rsidRDefault="00597D4F" w:rsidP="00D240D1">
            <w:r>
              <w:t xml:space="preserve"> </w:t>
            </w:r>
            <w:r w:rsidR="00315CB0">
              <w:t xml:space="preserve">               </w:t>
            </w:r>
            <w:r w:rsidR="00315CB0" w:rsidRPr="00315CB0">
              <w:rPr>
                <w:u w:val="single"/>
              </w:rPr>
              <w:t>13.08.2021</w:t>
            </w:r>
            <w:r w:rsidRPr="00315CB0">
              <w:t xml:space="preserve">  №</w:t>
            </w:r>
            <w:r w:rsidR="00315CB0">
              <w:t xml:space="preserve"> </w:t>
            </w:r>
            <w:r w:rsidR="00315CB0" w:rsidRPr="00315CB0">
              <w:rPr>
                <w:u w:val="single"/>
              </w:rPr>
              <w:t>10/11</w:t>
            </w:r>
          </w:p>
          <w:p w:rsidR="00597D4F" w:rsidRDefault="00597D4F" w:rsidP="00D240D1">
            <w:pPr>
              <w:jc w:val="center"/>
              <w:rPr>
                <w:noProof/>
                <w:color w:val="000000"/>
                <w:sz w:val="26"/>
              </w:rPr>
            </w:pPr>
            <w:r>
              <w:t>город Канаш</w:t>
            </w:r>
          </w:p>
        </w:tc>
      </w:tr>
    </w:tbl>
    <w:p w:rsidR="00597D4F" w:rsidRDefault="00597D4F" w:rsidP="00597D4F"/>
    <w:p w:rsidR="00597D4F" w:rsidRDefault="00597D4F" w:rsidP="00597D4F"/>
    <w:p w:rsidR="00597D4F" w:rsidRDefault="00597D4F" w:rsidP="00A06547">
      <w:pPr>
        <w:pStyle w:val="a5"/>
        <w:spacing w:line="240" w:lineRule="auto"/>
        <w:ind w:firstLine="0"/>
        <w:jc w:val="both"/>
        <w:rPr>
          <w:b/>
          <w:bCs/>
        </w:rPr>
      </w:pPr>
      <w:r w:rsidRPr="008C7F13">
        <w:rPr>
          <w:b/>
          <w:bCs/>
        </w:rPr>
        <w:t xml:space="preserve">О </w:t>
      </w:r>
      <w:r>
        <w:rPr>
          <w:b/>
          <w:bCs/>
        </w:rPr>
        <w:t xml:space="preserve">   передаче</w:t>
      </w:r>
      <w:proofErr w:type="gramStart"/>
      <w:r>
        <w:rPr>
          <w:b/>
          <w:bCs/>
        </w:rPr>
        <w:t xml:space="preserve">   К</w:t>
      </w:r>
      <w:proofErr w:type="gramEnd"/>
      <w:r>
        <w:rPr>
          <w:b/>
          <w:bCs/>
        </w:rPr>
        <w:t>онтрольно - счетной    палате</w:t>
      </w:r>
    </w:p>
    <w:p w:rsidR="00597D4F" w:rsidRDefault="00597D4F" w:rsidP="00A06547">
      <w:pPr>
        <w:pStyle w:val="a5"/>
        <w:spacing w:line="240" w:lineRule="auto"/>
        <w:ind w:firstLine="0"/>
        <w:jc w:val="both"/>
        <w:rPr>
          <w:b/>
          <w:bCs/>
        </w:rPr>
      </w:pPr>
      <w:r>
        <w:rPr>
          <w:b/>
          <w:bCs/>
        </w:rPr>
        <w:t>Чувашской     Республики     полномочий   по</w:t>
      </w:r>
    </w:p>
    <w:p w:rsidR="00597D4F" w:rsidRDefault="00597D4F" w:rsidP="00A06547">
      <w:pPr>
        <w:pStyle w:val="a5"/>
        <w:spacing w:line="240" w:lineRule="auto"/>
        <w:ind w:firstLine="0"/>
        <w:jc w:val="both"/>
        <w:rPr>
          <w:b/>
          <w:bCs/>
        </w:rPr>
      </w:pPr>
      <w:r>
        <w:rPr>
          <w:b/>
          <w:bCs/>
        </w:rPr>
        <w:t xml:space="preserve">осуществлению   </w:t>
      </w:r>
      <w:proofErr w:type="gramStart"/>
      <w:r>
        <w:rPr>
          <w:b/>
          <w:bCs/>
        </w:rPr>
        <w:t>внешнего</w:t>
      </w:r>
      <w:proofErr w:type="gramEnd"/>
      <w:r>
        <w:rPr>
          <w:b/>
          <w:bCs/>
        </w:rPr>
        <w:t xml:space="preserve">   муниципального</w:t>
      </w:r>
    </w:p>
    <w:p w:rsidR="00597D4F" w:rsidRDefault="00597D4F" w:rsidP="00A06547">
      <w:pPr>
        <w:pStyle w:val="a5"/>
        <w:spacing w:line="240" w:lineRule="auto"/>
        <w:ind w:firstLine="0"/>
        <w:jc w:val="both"/>
        <w:rPr>
          <w:b/>
          <w:bCs/>
        </w:rPr>
      </w:pPr>
      <w:r>
        <w:rPr>
          <w:b/>
          <w:bCs/>
        </w:rPr>
        <w:t xml:space="preserve">финансового    контроля   в   </w:t>
      </w:r>
      <w:proofErr w:type="gramStart"/>
      <w:r>
        <w:rPr>
          <w:b/>
          <w:bCs/>
        </w:rPr>
        <w:t>муниципальном</w:t>
      </w:r>
      <w:proofErr w:type="gramEnd"/>
      <w:r>
        <w:rPr>
          <w:b/>
          <w:bCs/>
        </w:rPr>
        <w:t xml:space="preserve"> </w:t>
      </w:r>
    </w:p>
    <w:p w:rsidR="00597D4F" w:rsidRDefault="00597D4F" w:rsidP="00A06547">
      <w:pPr>
        <w:pStyle w:val="a5"/>
        <w:spacing w:line="240" w:lineRule="auto"/>
        <w:ind w:firstLine="0"/>
        <w:jc w:val="both"/>
        <w:rPr>
          <w:b/>
          <w:bCs/>
        </w:rPr>
      </w:pPr>
      <w:proofErr w:type="gramStart"/>
      <w:r>
        <w:rPr>
          <w:b/>
          <w:bCs/>
        </w:rPr>
        <w:t>образовании</w:t>
      </w:r>
      <w:proofErr w:type="gramEnd"/>
      <w:r>
        <w:rPr>
          <w:b/>
          <w:bCs/>
        </w:rPr>
        <w:t xml:space="preserve"> Канашского района Чувашской</w:t>
      </w:r>
    </w:p>
    <w:p w:rsidR="00597D4F" w:rsidRPr="00597D4F" w:rsidRDefault="00597D4F" w:rsidP="00A06547">
      <w:pPr>
        <w:pStyle w:val="a5"/>
        <w:spacing w:line="240" w:lineRule="auto"/>
        <w:ind w:firstLine="0"/>
        <w:jc w:val="both"/>
        <w:rPr>
          <w:b/>
          <w:bCs/>
        </w:rPr>
      </w:pPr>
      <w:r>
        <w:rPr>
          <w:b/>
          <w:bCs/>
        </w:rPr>
        <w:t>Республики</w:t>
      </w:r>
    </w:p>
    <w:p w:rsidR="00597D4F" w:rsidRDefault="00597D4F" w:rsidP="00597D4F">
      <w:pPr>
        <w:pStyle w:val="a5"/>
        <w:spacing w:line="240" w:lineRule="auto"/>
        <w:jc w:val="both"/>
        <w:rPr>
          <w:b/>
          <w:bCs/>
          <w:sz w:val="26"/>
        </w:rPr>
      </w:pPr>
    </w:p>
    <w:p w:rsidR="00597D4F" w:rsidRDefault="00597D4F" w:rsidP="00597D4F">
      <w:pPr>
        <w:ind w:firstLine="709"/>
        <w:jc w:val="both"/>
        <w:rPr>
          <w:b/>
        </w:rPr>
      </w:pPr>
      <w:proofErr w:type="gramStart"/>
      <w:r w:rsidRPr="008C7F13">
        <w:t xml:space="preserve">В соответствии с </w:t>
      </w:r>
      <w:r>
        <w:t>частью 12 статьи 3 Федерального закона</w:t>
      </w:r>
      <w:r w:rsidRPr="008C7F13">
        <w:t xml:space="preserve"> от </w:t>
      </w:r>
      <w:r>
        <w:t>0</w:t>
      </w:r>
      <w:r w:rsidRPr="008C7F13">
        <w:t xml:space="preserve">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t>частью 2</w:t>
      </w:r>
      <w:r w:rsidRPr="00597D4F">
        <w:rPr>
          <w:vertAlign w:val="superscript"/>
        </w:rPr>
        <w:t>1</w:t>
      </w:r>
      <w:r>
        <w:t xml:space="preserve"> статьи 8, статьи 9</w:t>
      </w:r>
      <w:r w:rsidRPr="00597D4F">
        <w:rPr>
          <w:vertAlign w:val="superscript"/>
        </w:rPr>
        <w:t>1</w:t>
      </w:r>
      <w:r>
        <w:t xml:space="preserve"> Закона Ч</w:t>
      </w:r>
      <w:r w:rsidRPr="008C7F13">
        <w:t xml:space="preserve">увашской Республики </w:t>
      </w:r>
      <w:r>
        <w:t xml:space="preserve">от 13 сентября 2011 г. № 58 </w:t>
      </w:r>
      <w:r w:rsidR="008875AA">
        <w:t xml:space="preserve">«О Контрольно-счетной палате Чувашской Республики», </w:t>
      </w:r>
      <w:r w:rsidRPr="008C7F13">
        <w:rPr>
          <w:b/>
        </w:rPr>
        <w:t xml:space="preserve">Собрание депутатов Канашского района Чувашской Республики </w:t>
      </w:r>
      <w:r w:rsidR="008875AA">
        <w:rPr>
          <w:b/>
        </w:rPr>
        <w:t>решило</w:t>
      </w:r>
      <w:r w:rsidRPr="008C7F13">
        <w:rPr>
          <w:b/>
        </w:rPr>
        <w:t>:</w:t>
      </w:r>
      <w:proofErr w:type="gramEnd"/>
    </w:p>
    <w:p w:rsidR="00597D4F" w:rsidRDefault="00597D4F" w:rsidP="00597D4F">
      <w:pPr>
        <w:jc w:val="both"/>
        <w:rPr>
          <w:b/>
        </w:rPr>
      </w:pPr>
    </w:p>
    <w:p w:rsidR="00597D4F" w:rsidRDefault="00597D4F" w:rsidP="008875AA">
      <w:pPr>
        <w:jc w:val="both"/>
      </w:pPr>
      <w:r>
        <w:t xml:space="preserve">            1. </w:t>
      </w:r>
      <w:r w:rsidR="008875AA">
        <w:t xml:space="preserve">Обратиться в Контрольно-счетную палату Чувашской Республики с предложением о заключении соглашения о передаче Контрольно-счетной палате Чувашской Республики полномочий по осуществлению внешнего муниципального финансового контроля в муниципальном образовании </w:t>
      </w:r>
      <w:r w:rsidR="008875AA" w:rsidRPr="008C7F13">
        <w:t>Канашского района Чувашской Республики</w:t>
      </w:r>
      <w:r w:rsidR="008875AA">
        <w:t xml:space="preserve"> (далее – также Соглашение о передаче полномочий).</w:t>
      </w:r>
    </w:p>
    <w:p w:rsidR="00597D4F" w:rsidRDefault="00597D4F" w:rsidP="00597D4F">
      <w:pPr>
        <w:ind w:firstLine="709"/>
        <w:jc w:val="both"/>
      </w:pPr>
      <w:r>
        <w:t xml:space="preserve">2. </w:t>
      </w:r>
      <w:r w:rsidR="00C378A7">
        <w:t xml:space="preserve">Одобрить прилагаемое к настоящему решению Соглашение о передаче полномочий по осуществлению внешнего муниципального финансового контроля в муниципальном образовании </w:t>
      </w:r>
      <w:r w:rsidRPr="008C7F13">
        <w:t>Канашского района Чувашской Республики</w:t>
      </w:r>
      <w:r>
        <w:t>.</w:t>
      </w:r>
    </w:p>
    <w:p w:rsidR="00597D4F" w:rsidRDefault="00597D4F" w:rsidP="00597D4F">
      <w:pPr>
        <w:ind w:firstLine="709"/>
        <w:jc w:val="both"/>
      </w:pPr>
      <w:r>
        <w:t xml:space="preserve">3. </w:t>
      </w:r>
      <w:r w:rsidR="00C378A7">
        <w:t xml:space="preserve">Направить в Контрольно-счетную палату Чувашской Республики настоящее решение с приложением </w:t>
      </w:r>
      <w:r w:rsidR="00C378A7" w:rsidRPr="00F00BBC">
        <w:t>подписанного главой Канашского района Чувашской Республики –</w:t>
      </w:r>
      <w:r w:rsidR="00A06547" w:rsidRPr="00F00BBC">
        <w:t xml:space="preserve"> председателя</w:t>
      </w:r>
      <w:r w:rsidR="00C378A7" w:rsidRPr="00F00BBC">
        <w:t xml:space="preserve"> Собрания депутатов </w:t>
      </w:r>
      <w:r w:rsidR="00C378A7">
        <w:t xml:space="preserve">Канашского района Чувашской Республики Соглашения о передаче полномочий в течение </w:t>
      </w:r>
      <w:r w:rsidR="00A06547">
        <w:t>двух рабочих дней со дня его принятия.</w:t>
      </w:r>
      <w:r w:rsidR="00C378A7">
        <w:t xml:space="preserve"> </w:t>
      </w:r>
    </w:p>
    <w:p w:rsidR="00597D4F" w:rsidRPr="008C7F13" w:rsidRDefault="00597D4F" w:rsidP="00597D4F">
      <w:pPr>
        <w:ind w:firstLine="709"/>
        <w:jc w:val="both"/>
      </w:pPr>
      <w:r>
        <w:t xml:space="preserve">4. Настоящее решение вступает в силу </w:t>
      </w:r>
      <w:r w:rsidR="00A06547">
        <w:t>со дня его подписания</w:t>
      </w:r>
      <w:r>
        <w:t>.</w:t>
      </w:r>
    </w:p>
    <w:p w:rsidR="00597D4F" w:rsidRDefault="00597D4F" w:rsidP="00597D4F">
      <w:pPr>
        <w:pStyle w:val="a5"/>
        <w:spacing w:line="240" w:lineRule="auto"/>
        <w:ind w:firstLine="709"/>
        <w:jc w:val="both"/>
        <w:rPr>
          <w:sz w:val="26"/>
        </w:rPr>
      </w:pPr>
    </w:p>
    <w:p w:rsidR="00597D4F" w:rsidRDefault="00597D4F" w:rsidP="00597D4F">
      <w:pPr>
        <w:pStyle w:val="a5"/>
        <w:spacing w:line="240" w:lineRule="auto"/>
        <w:jc w:val="both"/>
        <w:rPr>
          <w:sz w:val="26"/>
        </w:rPr>
      </w:pPr>
    </w:p>
    <w:p w:rsidR="00597D4F" w:rsidRDefault="00597D4F" w:rsidP="00597D4F">
      <w:pPr>
        <w:pStyle w:val="a5"/>
        <w:spacing w:line="240" w:lineRule="auto"/>
        <w:jc w:val="both"/>
        <w:rPr>
          <w:sz w:val="26"/>
        </w:rPr>
      </w:pPr>
    </w:p>
    <w:p w:rsidR="00597D4F" w:rsidRDefault="00597D4F" w:rsidP="00597D4F">
      <w:pPr>
        <w:pStyle w:val="a5"/>
        <w:spacing w:line="240" w:lineRule="auto"/>
        <w:jc w:val="both"/>
        <w:rPr>
          <w:sz w:val="26"/>
        </w:rPr>
      </w:pPr>
    </w:p>
    <w:p w:rsidR="00597D4F" w:rsidRDefault="00597D4F" w:rsidP="00597D4F">
      <w:pPr>
        <w:pStyle w:val="a5"/>
        <w:spacing w:line="240" w:lineRule="auto"/>
        <w:ind w:firstLine="0"/>
        <w:jc w:val="both"/>
        <w:rPr>
          <w:sz w:val="26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145"/>
      </w:tblGrid>
      <w:tr w:rsidR="00597D4F" w:rsidRPr="00873D53" w:rsidTr="00D240D1">
        <w:trPr>
          <w:trHeight w:val="491"/>
        </w:trPr>
        <w:tc>
          <w:tcPr>
            <w:tcW w:w="4181" w:type="dxa"/>
          </w:tcPr>
          <w:p w:rsidR="00597D4F" w:rsidRPr="00873D53" w:rsidRDefault="00597D4F" w:rsidP="00D240D1">
            <w:pPr>
              <w:rPr>
                <w:noProof/>
              </w:rPr>
            </w:pPr>
            <w:r w:rsidRPr="00873D53">
              <w:rPr>
                <w:noProof/>
                <w:color w:val="000000"/>
              </w:rPr>
              <w:t xml:space="preserve">Глава </w:t>
            </w:r>
            <w:r w:rsidRPr="00873D53">
              <w:rPr>
                <w:noProof/>
              </w:rPr>
              <w:t>Канашского района –</w:t>
            </w:r>
          </w:p>
          <w:p w:rsidR="00597D4F" w:rsidRPr="00873D53" w:rsidRDefault="00597D4F" w:rsidP="00D240D1">
            <w:pPr>
              <w:rPr>
                <w:color w:val="000000"/>
              </w:rPr>
            </w:pPr>
            <w:r w:rsidRPr="00873D53">
              <w:rPr>
                <w:noProof/>
              </w:rPr>
              <w:t>председатель Собрания депутатов</w:t>
            </w:r>
          </w:p>
        </w:tc>
        <w:tc>
          <w:tcPr>
            <w:tcW w:w="2962" w:type="dxa"/>
          </w:tcPr>
          <w:p w:rsidR="00597D4F" w:rsidRPr="00873D53" w:rsidRDefault="00597D4F" w:rsidP="00D240D1">
            <w:pPr>
              <w:rPr>
                <w:noProof/>
                <w:color w:val="000000"/>
              </w:rPr>
            </w:pPr>
          </w:p>
          <w:p w:rsidR="00597D4F" w:rsidRPr="00873D53" w:rsidRDefault="00597D4F" w:rsidP="00D240D1">
            <w:pPr>
              <w:rPr>
                <w:color w:val="000000"/>
              </w:rPr>
            </w:pPr>
          </w:p>
        </w:tc>
        <w:tc>
          <w:tcPr>
            <w:tcW w:w="2145" w:type="dxa"/>
          </w:tcPr>
          <w:p w:rsidR="00597D4F" w:rsidRPr="00873D53" w:rsidRDefault="00597D4F" w:rsidP="00D240D1">
            <w:pPr>
              <w:rPr>
                <w:noProof/>
                <w:color w:val="000000"/>
              </w:rPr>
            </w:pPr>
          </w:p>
          <w:p w:rsidR="004F78B7" w:rsidRPr="00873D53" w:rsidRDefault="00597D4F" w:rsidP="004F78B7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t xml:space="preserve">            С.А.Шерне</w:t>
            </w:r>
            <w:r w:rsidR="009E01E8">
              <w:rPr>
                <w:noProof/>
                <w:color w:val="000000"/>
              </w:rPr>
              <w:t xml:space="preserve"> </w:t>
            </w:r>
          </w:p>
        </w:tc>
      </w:tr>
    </w:tbl>
    <w:p w:rsidR="00597D4F" w:rsidRPr="00873D53" w:rsidRDefault="00597D4F" w:rsidP="00597D4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73D5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</w:t>
      </w:r>
      <w:r w:rsidRPr="00873D53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873D53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873D53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873D53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873D53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873D53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 xml:space="preserve">                                                                     </w:t>
      </w:r>
    </w:p>
    <w:p w:rsidR="004F78B7" w:rsidRDefault="004F78B7" w:rsidP="004F78B7">
      <w:pPr>
        <w:jc w:val="center"/>
      </w:pPr>
      <w:r>
        <w:br w:type="page"/>
      </w:r>
      <w:r>
        <w:lastRenderedPageBreak/>
        <w:t>СОГЛАШЕНИЕ</w:t>
      </w:r>
    </w:p>
    <w:p w:rsidR="004F78B7" w:rsidRDefault="004F78B7" w:rsidP="004F78B7">
      <w:pPr>
        <w:jc w:val="center"/>
      </w:pPr>
      <w:r>
        <w:t>о передаче Контрольно-счетной палате Чувашской Республике полномочий по осуществлению внешнего муниципального финансового контроля в муниципальном образовании Канашского района Чувашской Республики</w:t>
      </w:r>
    </w:p>
    <w:p w:rsidR="004F78B7" w:rsidRDefault="004F78B7" w:rsidP="004F78B7">
      <w:pPr>
        <w:jc w:val="center"/>
      </w:pPr>
    </w:p>
    <w:p w:rsidR="004F78B7" w:rsidRDefault="004F78B7" w:rsidP="004F78B7">
      <w:pPr>
        <w:jc w:val="center"/>
      </w:pPr>
    </w:p>
    <w:p w:rsidR="004F78B7" w:rsidRDefault="004F78B7" w:rsidP="004F78B7">
      <w:r>
        <w:t>г. Чебоксары                                                                                             «16» августа 2021 года</w:t>
      </w:r>
    </w:p>
    <w:p w:rsidR="004F78B7" w:rsidRDefault="004F78B7" w:rsidP="004F78B7"/>
    <w:p w:rsidR="004F78B7" w:rsidRDefault="004F78B7" w:rsidP="004F78B7">
      <w:pPr>
        <w:ind w:firstLine="709"/>
        <w:jc w:val="both"/>
      </w:pPr>
      <w:proofErr w:type="gramStart"/>
      <w:r>
        <w:t xml:space="preserve">Собрание депутатов Канашского района Чувашской Республики (далее также – Представительный орган) в лице главы Канашского района Чувашской Республики – председателя Собрания депутатов Канашского района Чувашской Республики </w:t>
      </w:r>
      <w:proofErr w:type="spellStart"/>
      <w:r>
        <w:t>Шерне</w:t>
      </w:r>
      <w:proofErr w:type="spellEnd"/>
      <w:r>
        <w:t xml:space="preserve"> Сергея Александровича, действующего на основании Устава Канашского района Чувашской Республики, принятого решением Собранием депутатов Канашского района Чувашской Республики от 17 сентября 2013 г. № 32/1 с одной стороны, и Контрольно-счетная палата Чувашской Республики (далее – КСП</w:t>
      </w:r>
      <w:proofErr w:type="gramEnd"/>
      <w:r>
        <w:t xml:space="preserve"> </w:t>
      </w:r>
      <w:proofErr w:type="gramStart"/>
      <w:r>
        <w:t>Чувашской Республики) в лице председателя Аристовой Светланы Ивановны, действующей на основании Закона Чувашской Республики от 13.09.2011 № 58 «О Контрольно-счетной палате</w:t>
      </w:r>
      <w:r w:rsidRPr="003F1F62">
        <w:t xml:space="preserve"> </w:t>
      </w:r>
      <w:r>
        <w:t>Чувашской Республики», с другой стороны, вместе именуемые Стороны, руководствуясь положениями Бюджетного кодекса Российской Федерации (далее – БК РФ),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 февраля 2011 г. № 6-ФЗ (далее</w:t>
      </w:r>
      <w:proofErr w:type="gramEnd"/>
      <w:r>
        <w:t xml:space="preserve"> – </w:t>
      </w:r>
      <w:proofErr w:type="gramStart"/>
      <w:r>
        <w:t>Федеральный закон № 6-ФЗ), Закона Чувашской Республики от 13 сентября 2011 г. № 58 «О Контрольно-счетной палате</w:t>
      </w:r>
      <w:r w:rsidRPr="003F1F62">
        <w:t xml:space="preserve"> </w:t>
      </w:r>
      <w:r>
        <w:t>Чувашской Республики» (далее – Закон № 58), на основании решения Собрания депутатов Канашского района</w:t>
      </w:r>
      <w:r w:rsidRPr="00CB6B05">
        <w:t xml:space="preserve"> </w:t>
      </w:r>
      <w:r>
        <w:t>Чувашской Республики от 13.08.2021 г. № 10/11 о передаче Контрольно-счетной палате</w:t>
      </w:r>
      <w:r w:rsidRPr="008B4F9A">
        <w:t xml:space="preserve"> </w:t>
      </w:r>
      <w:r>
        <w:t>Чувашской Республики полномочий по осуществлению внешнего муниципального финансового контроля в муниципальном образовании Канашского района</w:t>
      </w:r>
      <w:r w:rsidRPr="008B4F9A">
        <w:t xml:space="preserve"> </w:t>
      </w:r>
      <w:r>
        <w:t>Чувашской Республики, решения коллегии КСП Чувашской Республики от</w:t>
      </w:r>
      <w:proofErr w:type="gramEnd"/>
      <w:r>
        <w:t xml:space="preserve"> 16 августа 2021 года № 39  заключили настоящее соглашение о нижеследующем.</w:t>
      </w:r>
    </w:p>
    <w:p w:rsidR="004F78B7" w:rsidRDefault="004F78B7" w:rsidP="004F78B7">
      <w:pPr>
        <w:ind w:firstLine="709"/>
        <w:jc w:val="both"/>
      </w:pPr>
    </w:p>
    <w:p w:rsidR="004F78B7" w:rsidRPr="008B4F9A" w:rsidRDefault="004F78B7" w:rsidP="004F78B7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F9A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Собрание депутатов Канашского района</w:t>
      </w:r>
      <w:r w:rsidRPr="008B4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 передает, а КСП Чувашской Республики принимает на себя полномочия по осуществлению внешнего муниципального финансового контроля, предусмотренные частью 2 статьи 9 Федерального закона № 6-ФЗ, частью 2</w:t>
      </w:r>
      <w:r w:rsidRPr="00470CE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 8 Закона № 58 в муниципальном образовании Канашского района</w:t>
      </w:r>
      <w:r w:rsidRPr="0090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 (далее также – Канашский район, Муниципальное образование).</w:t>
      </w: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осуществлении внешнего муниципального финансового контроля в рамках переданных полномочий КСП</w:t>
      </w:r>
      <w:r w:rsidRPr="0090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 руководствуется Конституцией Российской Федерации, Конституцией Чувашской Республики, законодательством Российской Федерации и</w:t>
      </w:r>
      <w:r w:rsidRPr="0090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Республики, уставом и нормативными правовыми актами муниципального образования, Регламентом КСП</w:t>
      </w:r>
      <w:r w:rsidRPr="0090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Республики, использует стандарты внешнего государственного и муниципального финансового контроля, утвержденные КСП</w:t>
      </w:r>
      <w:r w:rsidRPr="00350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 (далее – Стандарты).</w:t>
      </w:r>
      <w:proofErr w:type="gramEnd"/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 реализации переданных полномочий КСП</w:t>
      </w:r>
      <w:r w:rsidRPr="00350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 осуществляет контрольные и экспертно-аналитические мероприятия.</w:t>
      </w:r>
    </w:p>
    <w:p w:rsidR="004F78B7" w:rsidRPr="006E3B46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B46">
        <w:rPr>
          <w:rFonts w:ascii="Times New Roman" w:hAnsi="Times New Roman" w:cs="Times New Roman"/>
          <w:b/>
          <w:sz w:val="24"/>
          <w:szCs w:val="24"/>
        </w:rPr>
        <w:t>2. Условия и порядок реализации переданных полномочий</w:t>
      </w: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реализации переданных полномочий КСП</w:t>
      </w:r>
      <w:r w:rsidRPr="006E3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Чувашской Республики осуществляет контрольные и экспертно-аналитические мероприятия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планом работы КСП</w:t>
      </w:r>
      <w:r w:rsidRPr="006E3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 на год. Порядок подготовки и проведения контрольных и экспертно-аналитических мероприятий определяется Регламентом КСП</w:t>
      </w:r>
      <w:r w:rsidRPr="006E3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 с учетом особенностей, установленных законодательством Российской Федерации и законодательством Чувашской Республики, Стандартами и настоящим Соглашением.</w:t>
      </w: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При осуществлении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бюджета Канашского района</w:t>
      </w:r>
      <w:r w:rsidRPr="00991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 (далее – местный бюджет) КСП</w:t>
      </w:r>
      <w:r w:rsidRPr="00991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 проводится мониторинг бюджетных показателей, содержащихся в формах бюджетной отчетности Муниципального образования (далее – мониторинг).</w:t>
      </w: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форм бюджетной отчетности, направляемой в КСП</w:t>
      </w:r>
      <w:r w:rsidRPr="00DF3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 в целях мониторинга, соответствует перечню форм бюджетной отчетности, установленному представления финансовыми органами муниципальных образований</w:t>
      </w:r>
      <w:r w:rsidRPr="006C6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 на текущий финансовый год.</w:t>
      </w:r>
    </w:p>
    <w:p w:rsidR="004F78B7" w:rsidRPr="003679A3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Формы бюджетной отчетности представляются Муниципальным образованием в КСП</w:t>
      </w:r>
      <w:r w:rsidRPr="006C6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 по итогам полугодия и по результатам работы за год, не позднее 3 дней, с даты, установленной для сдачи отчетности в Министерство финансов Чувашской Республики на бумажном носителе и в электронном виде на адрес официальной электронной почты КСП</w:t>
      </w:r>
      <w:r w:rsidRPr="00367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Чувашской Республики: </w:t>
      </w:r>
      <w:hyperlink r:id="rId7" w:history="1">
        <w:r w:rsidRPr="00F65F9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kcp</w:t>
        </w:r>
        <w:r w:rsidRPr="00F65F92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Pr="00F65F9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Pr="00F65F92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65F9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679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осуществления КСП</w:t>
      </w:r>
      <w:r w:rsidRPr="00367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 мониторинга состав информации, направляемой в КСП</w:t>
      </w:r>
      <w:r w:rsidRPr="00367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Республики, может уточняться КСП</w:t>
      </w:r>
      <w:r w:rsidRPr="00367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 с установлением сроков ее предоставления, в пределах сроков установленных законодательством Российской Федерации и законодательством</w:t>
      </w:r>
      <w:r w:rsidRPr="00367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мониторинга исполнения местного бюджета за полугодие и по результатам работы за год оформляются в виде заключения и направляются в Представительный орган и размещаются на официальном сайте КСП</w:t>
      </w:r>
      <w:r w:rsidRPr="006A6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 в информационно-телекоммуникационной сети Интернет.</w:t>
      </w: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При проведении экспертизы проектов решений о местном бюджете на очередной финансовый год и плановый период (на очередной финансовый год и плановый период; о внесении изменений в бюджет на текущий финансовый год и плановый период) (далее – проект решения о местном бюджете) осуществляется оценка (анализ) его соответствия по составу и содержанию требованиям нормативных правовых актов Российской Федерации, нормативных правовых актов Чувашской Республики и муниципальных правовых актов Муниципального образования.</w:t>
      </w: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проектом решения о местном бюджете в КСП</w:t>
      </w:r>
      <w:r w:rsidRPr="00275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 представляются документы и материалы в составе, определенном Бюджетным кодексом Российской Федерации и принятыми в соответствии с ним муниципальными правовыми актами.</w:t>
      </w: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в целях проведения экспертизы проекта решения о местном бюджете направляются Представительным органом в КСП</w:t>
      </w:r>
      <w:r w:rsidRPr="00275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 не позднее 3 рабочих дней с момента их поступления в Представительный орган.</w:t>
      </w: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осуществления КСП</w:t>
      </w:r>
      <w:r w:rsidRPr="003F7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 экспертизы проекта решения о местном бюджете состав информации, направляемой в КСП</w:t>
      </w:r>
      <w:r w:rsidRPr="003F7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Республики, может уточняться КСП</w:t>
      </w:r>
      <w:r w:rsidRPr="003F7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Чувашской Республики с установлением сроков ее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предоставления, в пределах сроков установленных законодательством Российской Федерации и законодательством</w:t>
      </w:r>
      <w:r w:rsidRPr="003F7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для подготовки заключения устанавливается Представительным органом не менее 5 дней со дня поступления в КСП</w:t>
      </w:r>
      <w:r w:rsidRPr="00A20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 проекта решения о местном бюджете.</w:t>
      </w: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экспертизы составляется заключение, направляемое в адрес Представительного органа и администрации Муниципального образования.</w:t>
      </w: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Внешняя проверка годового отчета об исполнении местного бюджета осуществляется КСП</w:t>
      </w:r>
      <w:r w:rsidRPr="00A20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 в порядке, установленном муниципальным правовым актом Представительного органа, с соблюдением требований БК РФ и с учетом особенностей, установленных федеральными законами и законами</w:t>
      </w:r>
      <w:r w:rsidRPr="00CE0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 и материалов, представляемых в КСП</w:t>
      </w:r>
      <w:r w:rsidRPr="00CE0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 в целях проведения внешней проверки, соответствует перечню и формам, определенным решением Представительного органа. Информация о сроках, способах и форме представления сведений формируется КСП</w:t>
      </w:r>
      <w:r w:rsidRPr="00CE0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 и доводится до Муниципального образования дополнительно в срок до 15 февраля текущего финансового года.</w:t>
      </w: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внешней проверки годового отчета об исполнении местного бюджета оформляется заключение на годовой отчет об исполнении местного бюджета в соответствии с требованиями БК РФ и Стандартами, которое направляется в Представительный орган и администрацию Муниципального образования.</w:t>
      </w: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осуществления контроля за законностью, результативностью (эффективностью и экономностью) использования средств местного бюджета, контроля за соблюдением установленного порядка управления и распоряжения имуществом, находящимся в муниципальной собственности, а также средств, получаемых местным бюджетом из иных источников, предусмотренных законодательством Российской Федерации и законодательством Чувашской Республики, проводятся контрольные и экспертно-аналитические мероприятия в соответствии с утвержденным планом работы КСП</w:t>
      </w:r>
      <w:r w:rsidRPr="003C5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Республики.</w:t>
      </w:r>
      <w:proofErr w:type="gramEnd"/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Проведение контрольных и экспертно-аналитических мероприятий осуществляется КСП</w:t>
      </w:r>
      <w:r w:rsidRPr="00F96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 при наличии решения</w:t>
      </w:r>
      <w:r w:rsidRPr="00F96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Представительного органа, принятого в установленном Уставом Муниципального образования порядке, и/или письменного обращения Главы Канашского района</w:t>
      </w:r>
      <w:r w:rsidRPr="00F96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Республики, или принятого решения коллегии КСП</w:t>
      </w:r>
      <w:r w:rsidRPr="00F96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 о проведении контрольного или экспертно-аналитического мероприятия.</w:t>
      </w:r>
      <w:proofErr w:type="gramEnd"/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Оценка эффективности предоставления налоговых и иных льгот и преимуществ, бюджетных кредитов за счет средств местного бюджета,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индивидуальными предпринимателями за счет средств местного бюджета и имущества, находящегося в муниципальной собственности Канашского района</w:t>
      </w:r>
      <w:r w:rsidRPr="00BC6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Республики, а также анализ бюджетного процесса в Муниципальном образовании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подготовка предложений, направленных на его совершенствование, осуществляются КСП</w:t>
      </w:r>
      <w:r w:rsidRPr="00BC6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 в рамках проводимых контрольных и экспертно-аналитических мероприятий.</w:t>
      </w: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2.2.6. Проведение финансово-экономической 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 Муниципального образования, осуществляется на основании письменного обращения Представительного органа.</w:t>
      </w: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В ходе проведения экспертизы проектов бюджетов, нормативных правовых актов Муниципального образования, проведения контрольных и экспертно-аналитических мероприятий КСП</w:t>
      </w:r>
      <w:r w:rsidRPr="00B56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 осуществляет мероприятия, направленные на противодействие коррупции (в пределах полномочий), в том числе в случае выявления фактов указывающих на признаки, содержащие факты коррупционной направленности, направляет материалы в органы прокуратуры или правоохранительные органы.</w:t>
      </w: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 Иные полномочия в сфере внешнего муниципального финансового контроля, установленные федеральными законами, законами</w:t>
      </w:r>
      <w:r w:rsidRPr="00F10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Республики, уставом и нормативными правовыми актами Представительного органа Муниципального образования осуществляются в соответствии со Стандартами.</w:t>
      </w: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Информация о результатах контрольных и экспертно-аналитических мероприятий, предусмотренных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2.2.1 – 2.2.8 пункта 2.2. настоящего Соглашения, подлежит доведению до уполномоченных органов (должностных лиц) Муниципального образования в соответствии с законодательством Российской Федерации и законодательством Чувашской Республики.</w:t>
      </w: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8B7" w:rsidRPr="006B4A69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A69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Представительный орган имеет право:</w:t>
      </w: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предложения о проведении контрольных и экспертно-аналитических мероприятий;</w:t>
      </w: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запрашивать материалы (отчеты, заключения) проведенных контрольных и экспертно-аналитических мероприятий в части, касающейся Муниципального образования.</w:t>
      </w: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реализации настоящего соглашения Представительный орган принимает решение о возложении на администрацию Муниципального образования обязанностей:</w:t>
      </w: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своевременному направлению в КСП</w:t>
      </w:r>
      <w:r w:rsidRPr="00904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 информации в целях выполнения настоящего Соглашения;</w:t>
      </w: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обеспечению необходимых условий для проведения КСП</w:t>
      </w:r>
      <w:r w:rsidRPr="00904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Чувашской Республики контрольных и экспертно-аналитических мероприятий, в том числе по обеспечению рабочего </w:t>
      </w:r>
      <w:r w:rsidRPr="006A2EF2">
        <w:rPr>
          <w:rFonts w:ascii="Times New Roman" w:hAnsi="Times New Roman" w:cs="Times New Roman"/>
          <w:sz w:val="24"/>
          <w:szCs w:val="24"/>
        </w:rPr>
        <w:t xml:space="preserve">места, доступа к информации, хранящейся в электронной форме в базах данных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образования, касающейся финансово-хозяйственной деятельности и др.</w:t>
      </w: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КСП</w:t>
      </w:r>
      <w:r w:rsidRPr="00E82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 в рамках выполнения настоящего Соглашения наделяется всеми правами, предусмотренными БК РФ, Федеральным законом № 6-ФЗ, Законом № 58 для контрольно-счетных органов и их должностных лиц.</w:t>
      </w: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КСП</w:t>
      </w:r>
      <w:r w:rsidRPr="00461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рассматривать в установленном порядке поступившие от Представительного органа обращения о проведении контрольных и экспертно-аналитических мероприятий;</w:t>
      </w: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предоставлять по запросу Представительного органа материалы (отчеты, заключения) проведенных контрольных и экспертно-аналитических мероприятий в части, касающейся Муниципального образования.</w:t>
      </w: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КСП</w:t>
      </w:r>
      <w:r w:rsidRPr="009B3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 отказывает в проведении контрольных и экспертно-аналитических мероприятий в случае несоответствия поступивших предложений компетенции КСП</w:t>
      </w:r>
      <w:r w:rsidRPr="009B3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Республики, установленной законодательством Российской Федерации и законодательством</w:t>
      </w:r>
      <w:r w:rsidRPr="009B3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Каждая из Сторон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8B7" w:rsidRPr="001809FD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9FD">
        <w:rPr>
          <w:rFonts w:ascii="Times New Roman" w:hAnsi="Times New Roman" w:cs="Times New Roman"/>
          <w:b/>
          <w:sz w:val="24"/>
          <w:szCs w:val="24"/>
        </w:rPr>
        <w:t>4. Ответственность Сторон.</w:t>
      </w: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положений Соглашения предусматривается ответственность в соответствии с действующим законодательством.</w:t>
      </w: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8B7" w:rsidRPr="001809FD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9FD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Настоящее Соглашение вступает в силу с «01» января 2022 года и действует в течение 5 лет.</w:t>
      </w: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Изменения в настоящее Соглашение вносится в порядке, предусмотренном для заключения данного соглашения.</w:t>
      </w: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Настоящее Соглашение может быть расторгнуто по инициативе одной из Сторон. Сторона – инициатор расторжения соглашения обязана письменно уведомить другую Сторону о расторжении соглашения в срок не позднее 6 месяцев до предполагаемой даты расторжения.</w:t>
      </w: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Сторона (одна из Сторон) за тридцать календарных дней до прекращения срока действия настоящего Соглашения не выразили в письменном виде намерение прекратить взаимодействие, Соглашение считается для всех Сторон продленным на срок – 5 лет.</w:t>
      </w: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Настоящее соглашение составлено в двух экземплярах по одному для каждой из Сторон, имеющих равную юридическую силу.</w:t>
      </w: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8B7" w:rsidRPr="005266B2" w:rsidRDefault="004F78B7" w:rsidP="004F78B7">
      <w:pPr>
        <w:jc w:val="both"/>
      </w:pPr>
      <w:r w:rsidRPr="005266B2">
        <w:t>Глава Канашского района – председатель</w:t>
      </w:r>
      <w:r>
        <w:t xml:space="preserve">                     </w:t>
      </w:r>
      <w:proofErr w:type="spellStart"/>
      <w:r>
        <w:t>Председатель</w:t>
      </w:r>
      <w:proofErr w:type="spellEnd"/>
      <w:r>
        <w:t xml:space="preserve"> </w:t>
      </w:r>
      <w:proofErr w:type="gramStart"/>
      <w:r>
        <w:t>Контрольно-счетной</w:t>
      </w:r>
      <w:proofErr w:type="gramEnd"/>
    </w:p>
    <w:p w:rsidR="004F78B7" w:rsidRDefault="004F78B7" w:rsidP="004F78B7">
      <w:pPr>
        <w:jc w:val="both"/>
      </w:pPr>
      <w:r w:rsidRPr="00EB6C9B">
        <w:t>Собрания депутатов</w:t>
      </w:r>
      <w:r>
        <w:t xml:space="preserve"> </w:t>
      </w:r>
      <w:r w:rsidRPr="00DC2CE7">
        <w:t xml:space="preserve">Канашского района </w:t>
      </w:r>
      <w:r>
        <w:t xml:space="preserve">                      палаты Чувашской Республики </w:t>
      </w:r>
    </w:p>
    <w:p w:rsidR="004F78B7" w:rsidRDefault="004F78B7" w:rsidP="004F78B7">
      <w:pPr>
        <w:jc w:val="both"/>
      </w:pPr>
      <w:r w:rsidRPr="00DC2CE7">
        <w:t>Чувашской Республики</w:t>
      </w:r>
    </w:p>
    <w:p w:rsidR="004F78B7" w:rsidRDefault="004F78B7" w:rsidP="004F78B7">
      <w:pPr>
        <w:jc w:val="both"/>
      </w:pPr>
    </w:p>
    <w:p w:rsidR="004F78B7" w:rsidRDefault="004F78B7" w:rsidP="004F78B7">
      <w:pPr>
        <w:jc w:val="both"/>
      </w:pPr>
      <w:r>
        <w:t xml:space="preserve">________________ С.А. </w:t>
      </w:r>
      <w:proofErr w:type="spellStart"/>
      <w:r>
        <w:t>Шерне</w:t>
      </w:r>
      <w:proofErr w:type="spellEnd"/>
      <w:r>
        <w:t xml:space="preserve">                                      ______________ С.И. Аристова</w:t>
      </w:r>
    </w:p>
    <w:p w:rsidR="004F78B7" w:rsidRDefault="004F78B7" w:rsidP="004F78B7">
      <w:pPr>
        <w:jc w:val="both"/>
      </w:pPr>
    </w:p>
    <w:p w:rsidR="004F78B7" w:rsidRPr="00DC2CE7" w:rsidRDefault="004F78B7" w:rsidP="004F78B7">
      <w:pPr>
        <w:jc w:val="both"/>
      </w:pPr>
      <w:r>
        <w:t xml:space="preserve">МП                                                                                     </w:t>
      </w:r>
      <w:proofErr w:type="spellStart"/>
      <w:proofErr w:type="gramStart"/>
      <w:r>
        <w:t>МП</w:t>
      </w:r>
      <w:proofErr w:type="spellEnd"/>
      <w:proofErr w:type="gramEnd"/>
    </w:p>
    <w:p w:rsidR="004F78B7" w:rsidRPr="0014520F" w:rsidRDefault="004F78B7" w:rsidP="004F78B7">
      <w:pPr>
        <w:jc w:val="both"/>
      </w:pPr>
    </w:p>
    <w:p w:rsidR="004F78B7" w:rsidRDefault="004F78B7" w:rsidP="004F78B7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8B7" w:rsidRDefault="004F78B7" w:rsidP="004F78B7">
      <w:pPr>
        <w:tabs>
          <w:tab w:val="left" w:pos="6946"/>
        </w:tabs>
        <w:spacing w:after="200" w:line="276" w:lineRule="auto"/>
      </w:pPr>
    </w:p>
    <w:p w:rsidR="009946E5" w:rsidRDefault="009946E5"/>
    <w:sectPr w:rsidR="0099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56A29"/>
    <w:multiLevelType w:val="multilevel"/>
    <w:tmpl w:val="67B030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4F"/>
    <w:rsid w:val="00315CB0"/>
    <w:rsid w:val="004B0C76"/>
    <w:rsid w:val="004F78B7"/>
    <w:rsid w:val="00597D4F"/>
    <w:rsid w:val="006E63F5"/>
    <w:rsid w:val="008875AA"/>
    <w:rsid w:val="009945CB"/>
    <w:rsid w:val="009946E5"/>
    <w:rsid w:val="009E01E8"/>
    <w:rsid w:val="00A06547"/>
    <w:rsid w:val="00C378A7"/>
    <w:rsid w:val="00E80A01"/>
    <w:rsid w:val="00F00BBC"/>
    <w:rsid w:val="00F7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7D4F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7D4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597D4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97D4F"/>
    <w:rPr>
      <w:b/>
      <w:bCs/>
      <w:color w:val="000080"/>
    </w:rPr>
  </w:style>
  <w:style w:type="paragraph" w:styleId="a5">
    <w:name w:val="Body Text Indent"/>
    <w:basedOn w:val="a"/>
    <w:link w:val="a6"/>
    <w:rsid w:val="00597D4F"/>
    <w:pPr>
      <w:spacing w:line="360" w:lineRule="auto"/>
      <w:ind w:firstLine="720"/>
    </w:pPr>
    <w:rPr>
      <w:color w:val="000000"/>
    </w:rPr>
  </w:style>
  <w:style w:type="character" w:customStyle="1" w:styleId="a6">
    <w:name w:val="Основной текст с отступом Знак"/>
    <w:basedOn w:val="a0"/>
    <w:link w:val="a5"/>
    <w:rsid w:val="00597D4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0B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B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F78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F78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7D4F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7D4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597D4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97D4F"/>
    <w:rPr>
      <w:b/>
      <w:bCs/>
      <w:color w:val="000080"/>
    </w:rPr>
  </w:style>
  <w:style w:type="paragraph" w:styleId="a5">
    <w:name w:val="Body Text Indent"/>
    <w:basedOn w:val="a"/>
    <w:link w:val="a6"/>
    <w:rsid w:val="00597D4F"/>
    <w:pPr>
      <w:spacing w:line="360" w:lineRule="auto"/>
      <w:ind w:firstLine="720"/>
    </w:pPr>
    <w:rPr>
      <w:color w:val="000000"/>
    </w:rPr>
  </w:style>
  <w:style w:type="character" w:customStyle="1" w:styleId="a6">
    <w:name w:val="Основной текст с отступом Знак"/>
    <w:basedOn w:val="a0"/>
    <w:link w:val="a5"/>
    <w:rsid w:val="00597D4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0B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B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F78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F78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cp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пользователя</dc:creator>
  <cp:lastModifiedBy>Ирина Ю.Машкина</cp:lastModifiedBy>
  <cp:revision>6</cp:revision>
  <cp:lastPrinted>2021-08-16T05:34:00Z</cp:lastPrinted>
  <dcterms:created xsi:type="dcterms:W3CDTF">2021-08-16T13:06:00Z</dcterms:created>
  <dcterms:modified xsi:type="dcterms:W3CDTF">2021-09-15T06:46:00Z</dcterms:modified>
</cp:coreProperties>
</file>