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Таблица1"/>
        <w:tabOrder w:val="0"/>
        <w:jc w:val="left"/>
        <w:tblInd w:w="0" w:type="dxa"/>
        <w:tblW w:w="9355" w:type="dxa"/>
      </w:tblPr>
      <w:tblGrid>
        <w:gridCol w:w="4233"/>
        <w:gridCol w:w="5122"/>
      </w:tblGrid>
      <w:tr>
        <w:trPr>
          <w:trHeight w:val="3828" w:hRule="atLeast"/>
        </w:trPr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131031" protected="0"/>
          </w:tcPr>
          <w:p>
            <w:pPr>
              <w:spacing w:line="276" w:lineRule="auto"/>
              <w:jc w:val="both"/>
              <w:widowControl w:val="0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131031" protected="0"/>
          </w:tcPr>
          <w:p>
            <w:pPr>
              <w:ind w:left="-108"/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  <w:t>УТВЕРЖДАЮ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>Врио министра строительства, архитектуры</w:t>
            </w:r>
            <w:r>
              <w:rPr>
                <w:szCs w:val="26"/>
              </w:rPr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>и жилищно-коммунального хозяйства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Чувашской Республики </w:t>
            </w:r>
          </w:p>
          <w:p>
            <w:pPr>
              <w:ind w:left="-108"/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ind w:left="-108"/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ind w:left="-108"/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  <w:t>__________________    В.М. Максимов</w:t>
            </w:r>
          </w:p>
          <w:p>
            <w:pPr>
              <w:ind w:left="-108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__ ______________ 2018 г.</w:t>
            </w:r>
          </w:p>
          <w:p>
            <w:pPr>
              <w:widowControl w:val="0"/>
              <w:rPr>
                <w:szCs w:val="26"/>
              </w:rPr>
            </w:pPr>
            <w:r>
              <w:rPr>
                <w:szCs w:val="26"/>
              </w:rPr>
            </w:r>
          </w:p>
        </w:tc>
      </w:tr>
    </w:tbl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ДОЛЖНОСТНОЙ РЕГЛАМЕНТ</w:t>
      </w: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государственного гражданского служащего Чувашской Республики, </w:t>
      </w: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замещающего</w:t>
      </w:r>
      <w:r>
        <w:rPr>
          <w:b/>
          <w:szCs w:val="26"/>
        </w:rPr>
        <w:t xml:space="preserve"> должность</w:t>
      </w:r>
      <w:r>
        <w:rPr>
          <w:szCs w:val="26"/>
        </w:rPr>
        <w:t xml:space="preserve"> </w:t>
      </w:r>
      <w:r>
        <w:rPr>
          <w:b/>
          <w:szCs w:val="26"/>
        </w:rPr>
        <w:t xml:space="preserve">государственной гражданской службы </w:t>
      </w:r>
      <w:r>
        <w:rPr>
          <w:b/>
          <w:szCs w:val="26"/>
        </w:rPr>
      </w:r>
    </w:p>
    <w:p>
      <w:pPr>
        <w:spacing/>
        <w:jc w:val="center"/>
        <w:outlineLvl w:val="0"/>
        <w:rPr>
          <w:b/>
          <w:szCs w:val="26"/>
        </w:rPr>
      </w:pPr>
      <w:r>
        <w:rPr>
          <w:b/>
          <w:szCs w:val="26"/>
        </w:rPr>
        <w:t>Чувашской Республики старшей группы должностей</w:t>
      </w:r>
      <w:r>
        <w:rPr>
          <w:b/>
          <w:szCs w:val="26"/>
        </w:rPr>
      </w:r>
    </w:p>
    <w:p>
      <w:pPr>
        <w:spacing/>
        <w:jc w:val="center"/>
        <w:outlineLvl w:val="0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главного специалиста-эксперта</w:t>
      </w:r>
      <w:r>
        <w:rPr>
          <w:b/>
          <w:szCs w:val="26"/>
        </w:rPr>
      </w:r>
    </w:p>
    <w:p>
      <w:pPr>
        <w:spacing/>
        <w:jc w:val="center"/>
        <w:tabs>
          <w:tab w:val="left" w:pos="709" w:leader="none"/>
        </w:tabs>
        <w:rPr>
          <w:b/>
          <w:szCs w:val="26"/>
        </w:rPr>
      </w:pPr>
      <w:r>
        <w:rPr>
          <w:b/>
          <w:szCs w:val="26"/>
        </w:rPr>
        <w:t>отдела экономической политики и мониторинга</w:t>
      </w:r>
      <w:r>
        <w:rPr>
          <w:b/>
          <w:szCs w:val="26"/>
        </w:rPr>
      </w:r>
    </w:p>
    <w:p>
      <w:pPr>
        <w:spacing/>
        <w:jc w:val="center"/>
        <w:tabs>
          <w:tab w:val="left" w:pos="709" w:leader="none"/>
        </w:tabs>
        <w:rPr>
          <w:b/>
          <w:szCs w:val="26"/>
        </w:rPr>
      </w:pPr>
      <w:r>
        <w:rPr>
          <w:b/>
          <w:szCs w:val="26"/>
        </w:rPr>
        <w:t>в сфере жилищ</w:t>
      </w:r>
      <w:r>
        <w:rPr>
          <w:b/>
          <w:szCs w:val="26"/>
        </w:rPr>
        <w:t>но-коммунального хозяйства</w:t>
      </w:r>
      <w:r>
        <w:rPr>
          <w:b/>
          <w:szCs w:val="26"/>
        </w:rPr>
      </w:r>
      <w:r>
        <w:br w:type="page"/>
      </w:r>
    </w:p>
    <w:p>
      <w:pPr>
        <w:spacing/>
        <w:jc w:val="center"/>
        <w:tabs>
          <w:tab w:val="left" w:pos="709" w:leader="none"/>
        </w:tabs>
        <w:rPr>
          <w:b/>
          <w:szCs w:val="26"/>
        </w:rPr>
      </w:pPr>
      <w:r>
        <w:rPr>
          <w:b/>
          <w:szCs w:val="26"/>
        </w:rPr>
        <w:t>I. Общие положения</w:t>
      </w: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1.1. </w:t>
      </w:r>
      <w:r>
        <w:rPr>
          <w:szCs w:val="26"/>
        </w:rPr>
        <w:t>Должность государственной гражданской службы Чувашской Республики главный специалист-эксперт отдела экономической политики и мониторинга в сфере жилищно-коммунального хозяйства (далее – главный специалис</w:t>
      </w:r>
      <w:r>
        <w:rPr>
          <w:szCs w:val="26"/>
        </w:rPr>
        <w:t>т-эксперт)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экономической политики и мониторинга в сфере жилищно-коммунального хозяйс</w:t>
      </w:r>
      <w:r>
        <w:rPr>
          <w:szCs w:val="26"/>
        </w:rPr>
        <w:t>тва (далее – отдел) в соответствии</w:t>
      </w:r>
      <w:r>
        <w:rPr>
          <w:szCs w:val="26"/>
          <w:vertAlign w:val="superscript"/>
        </w:rPr>
        <w:t xml:space="preserve">  </w:t>
      </w:r>
      <w:r>
        <w:rPr>
          <w:szCs w:val="26"/>
        </w:rPr>
        <w:t>с Положением об отделе.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1.2. В </w:t>
      </w:r>
      <w:r>
        <w:rPr>
          <w:szCs w:val="26"/>
        </w:rPr>
        <w:t>соответствии</w:t>
      </w:r>
      <w:r>
        <w:rPr>
          <w:szCs w:val="26"/>
        </w:rPr>
        <w:t xml:space="preserve">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</w:t>
      </w:r>
      <w:r>
        <w:rPr>
          <w:szCs w:val="26"/>
        </w:rPr>
        <w:t xml:space="preserve"> № 73, должность «главный специалист-эксперт» относится к категории «специалисты» старшей группы должностей и имеет регистрационный номер (код)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>3-3-4-19.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1.3. Область профессиональной служебной деятельности государственного гражданского служащего Чувашской</w:t>
      </w:r>
      <w:r>
        <w:rPr>
          <w:szCs w:val="26"/>
        </w:rPr>
        <w:t xml:space="preserve"> Республики (далее – гражданский служащий):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регулирование жилищно-коммунального хозяйства и строительства.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1.4. Вид профессиональной служебной деятельности гражданского служащего: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регулирование в сфере коммунальных и эксплуатационных услуг.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1.5. Главный с</w:t>
      </w:r>
      <w:r>
        <w:rPr>
          <w:szCs w:val="26"/>
        </w:rPr>
        <w:t xml:space="preserve">пециалист-эксперт </w:t>
      </w:r>
      <w:r>
        <w:rPr>
          <w:szCs w:val="26"/>
        </w:rPr>
        <w:t>назначается на должность и освобождается</w:t>
      </w:r>
      <w:r>
        <w:rPr>
          <w:szCs w:val="26"/>
        </w:rPr>
        <w:t xml:space="preserve">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отдела.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1.6. В период отсутствия главного специали</w:t>
      </w:r>
      <w:r>
        <w:rPr>
          <w:szCs w:val="26"/>
        </w:rPr>
        <w:t>ста-эксперта его обязанности распределяются начальником отдела между гражданскими служащими отдела.</w:t>
      </w:r>
      <w:r>
        <w:rPr>
          <w:szCs w:val="26"/>
        </w:rPr>
      </w:r>
    </w:p>
    <w:p>
      <w:pPr>
        <w:spacing/>
        <w:jc w:val="both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</w:t>
      </w: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 w:val="22"/>
          <w:szCs w:val="26"/>
        </w:rPr>
      </w:pPr>
      <w:r>
        <w:rPr>
          <w:rFonts w:eastAsia="Calibri"/>
          <w:kern w:val="1"/>
          <w:szCs w:val="26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  <w:r>
        <w:rPr>
          <w:rFonts w:eastAsia="Calibri"/>
          <w:kern w:val="1"/>
          <w:sz w:val="22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2.1. Базовые квалификационные требования: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2.1.1. Гражданский служащий, замещающий должность главного специалиста-эк</w:t>
      </w:r>
      <w:r>
        <w:rPr>
          <w:rFonts w:eastAsia="Calibri"/>
          <w:kern w:val="1"/>
          <w:szCs w:val="26"/>
        </w:rPr>
        <w:t>сперта, должен иметь высшее образование.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 xml:space="preserve">2.1.2. Для должности главного специалиста-эксперта требования к стажу </w:t>
      </w:r>
      <w:r>
        <w:rPr>
          <w:rFonts w:eastAsia="Calibri"/>
          <w:kern w:val="1"/>
          <w:szCs w:val="26"/>
        </w:rPr>
      </w:r>
    </w:p>
    <w:p>
      <w:pPr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гражданской службы или работы по специальности, направлению подготовки не устанавливаются.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 w:val="22"/>
          <w:szCs w:val="26"/>
        </w:rPr>
      </w:pPr>
      <w:r>
        <w:rPr>
          <w:rFonts w:eastAsia="Calibri"/>
          <w:kern w:val="1"/>
          <w:szCs w:val="26"/>
        </w:rPr>
        <w:t>2.1.3. Главный специалист-эксперт должен обладать сле</w:t>
      </w:r>
      <w:r>
        <w:rPr>
          <w:rFonts w:eastAsia="Calibri"/>
          <w:kern w:val="1"/>
          <w:szCs w:val="26"/>
        </w:rPr>
        <w:t xml:space="preserve">дующими базовыми знаниями и умениями: </w:t>
      </w:r>
      <w:r>
        <w:rPr>
          <w:rFonts w:eastAsia="Calibri"/>
          <w:kern w:val="1"/>
          <w:sz w:val="22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1) знанием государственного языка Российской Федерации (русского языка);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 xml:space="preserve">2) знаниями основ: 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 xml:space="preserve">Конституции Российской Федерации; 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 xml:space="preserve">федеральных законов «О системе государственной службы Российской Федерации», «О </w:t>
      </w:r>
      <w:r>
        <w:rPr>
          <w:rFonts w:eastAsia="Calibri"/>
          <w:kern w:val="1"/>
          <w:szCs w:val="26"/>
        </w:rPr>
        <w:t>государственной гражданской службе Российской Федерации», «О противодействии коррупции»;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3) знаниями и умениями в области информационно-коммуникационных технологий: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знание основ информационной безопасности и защиты информации;</w:t>
      </w:r>
      <w:r>
        <w:rPr>
          <w:kern w:val="1"/>
          <w:szCs w:val="26"/>
        </w:rPr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знание основных положений законодательства о персональных данных;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знание общих принципов функционирования системы электронного документооборота;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знания и умения по применению персонального компьютера.</w:t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kern w:val="1"/>
          <w:szCs w:val="26"/>
        </w:rPr>
        <w:t xml:space="preserve">2.1.4. Умения гражданского служащего, замещающего должность </w:t>
      </w:r>
      <w:r>
        <w:rPr>
          <w:rFonts w:eastAsia="Calibri"/>
          <w:kern w:val="1"/>
          <w:szCs w:val="26"/>
        </w:rPr>
        <w:t xml:space="preserve">главного </w:t>
      </w:r>
      <w:r>
        <w:rPr>
          <w:rFonts w:eastAsia="Calibri"/>
          <w:kern w:val="1"/>
          <w:szCs w:val="26"/>
        </w:rPr>
        <w:t>специалиста-эксперта, должны включать:</w:t>
      </w:r>
      <w:r>
        <w:rPr>
          <w:rFonts w:eastAsia="Calibri"/>
          <w:kern w:val="1"/>
          <w:szCs w:val="26"/>
        </w:rPr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1) общие умения: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умение достигать результата;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умение мыслить системно (стратегически);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умение планировать и рационально использовать служебное время и достигать результата;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коммуникативные умения;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 xml:space="preserve">- умение управлять изменениями; 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2) управленческие умения: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умение эффективно планировать, организовывать работу и контролировать ее выполнение;</w:t>
      </w:r>
    </w:p>
    <w:p>
      <w:pPr>
        <w:ind w:firstLine="709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- оперативно принимать и реализовывать управленческие решения.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2.2. Профессионально-функциональные квалификационные требования: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2.2.1. Гражданский служащий, замещающий должность главного специалиста-эксперта, должен иметь высшее образование по специальности(ям), направлению(ям) подготовки «</w:t>
      </w:r>
      <w:r>
        <w:rPr>
          <w:iCs/>
          <w:szCs w:val="26"/>
        </w:rPr>
        <w:t>Экономика</w:t>
      </w:r>
      <w:r>
        <w:rPr>
          <w:szCs w:val="26"/>
        </w:rPr>
        <w:t xml:space="preserve">», и (или) «Бухгалтерский учет и аудит», и(или) «Промышленное гражданское строительство»,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1) Федеральный закон от 27.07.2010 № 190-ФЗ «О теплоснабжении»;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2) Федеральный закон от 07.12.2011 № 416-ФЗ «О водоснабжении и водоотведении»; </w:t>
      </w:r>
    </w:p>
    <w:p>
      <w:pPr>
        <w:ind w:firstLine="709"/>
        <w:spacing/>
        <w:jc w:val="both"/>
        <w:rPr>
          <w:color w:val="000000"/>
          <w:szCs w:val="26"/>
        </w:rPr>
      </w:pPr>
      <w:r>
        <w:rPr>
          <w:color w:val="000000"/>
          <w:szCs w:val="26"/>
        </w:rPr>
        <w:t>3) Жилищный кодекс Российской Федерации от 29.12.2004 № 188-ФЗ.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Постановление Правительства РФ от 23 мая 2006 г.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Постановление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6) Постановление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7) Постановление Правительства РФ от 14 февраля 2012 г. № 124 «О правилах, обязательных при заключении договоров снабжения коммунальными ресурсами»;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8) Постановление Кабинета Министров Чувашской Республики от 21 февраля 2005 г. № 40 «Об экономическом соревновании между организациями основных отраслей экономики Чувашской Республики».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 xml:space="preserve">2.2.3. Иные профессиональные знания главного специалиста-эксперта должны включать: </w:t>
      </w:r>
    </w:p>
    <w:p>
      <w:pPr>
        <w:ind w:firstLine="737"/>
        <w:spacing/>
        <w:jc w:val="both"/>
        <w:outlineLvl w:val="0"/>
        <w:rPr>
          <w:color w:val="000000"/>
          <w:szCs w:val="26"/>
        </w:rPr>
      </w:pPr>
      <w:r>
        <w:rPr>
          <w:color w:val="000000"/>
          <w:szCs w:val="26"/>
        </w:rPr>
        <w:t>1) основные принципы жилищного законодательства в части, отнесенной к компетенции отдела;</w:t>
      </w:r>
    </w:p>
    <w:p>
      <w:pPr>
        <w:ind w:firstLine="737"/>
        <w:spacing/>
        <w:jc w:val="both"/>
        <w:outlineLvl w:val="0"/>
        <w:rPr>
          <w:szCs w:val="26"/>
        </w:rPr>
      </w:pPr>
      <w:r>
        <w:rPr>
          <w:color w:val="000000"/>
          <w:szCs w:val="26"/>
        </w:rPr>
        <w:t>2) полномочия органов местног</w:t>
      </w:r>
      <w:r>
        <w:rPr>
          <w:szCs w:val="26"/>
        </w:rPr>
        <w:t>о самоуправления в области жилищно-коммунального хозяйства;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3) знание основ анализа финансово-хозяйственной деятельности организаций;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4) понятие мониторинга состояния расчетов и задолженности перед предприятиями жилищно-коммунального комплекса и энергетики;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5) понятие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6) знания порядка подготовки и согласования проектов нормативных правовых актов;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7) основы организации бюджетного процесса;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8) порядок ведения учета и отчетности в сфере жилищно-коммунального хозяйства.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>
      <w:pPr>
        <w:ind w:firstLine="737"/>
        <w:spacing/>
        <w:contextualSpacing/>
        <w:jc w:val="both"/>
        <w:tabs>
          <w:tab w:val="left" w:pos="1276" w:leader="none"/>
        </w:tabs>
        <w:rPr>
          <w:szCs w:val="26"/>
        </w:rPr>
      </w:pPr>
      <w:r>
        <w:rPr>
          <w:szCs w:val="26"/>
        </w:rPr>
        <w:t>1) умение проводить правовую и антикоррупционную экспертизу нормативных правовых актов и их проектов;</w:t>
      </w:r>
    </w:p>
    <w:p>
      <w:pPr>
        <w:ind w:firstLine="737"/>
        <w:spacing/>
        <w:contextualSpacing/>
        <w:jc w:val="both"/>
        <w:tabs>
          <w:tab w:val="left" w:pos="1276" w:leader="none"/>
        </w:tabs>
        <w:rPr>
          <w:szCs w:val="26"/>
        </w:rPr>
      </w:pPr>
      <w:r>
        <w:rPr>
          <w:szCs w:val="26"/>
        </w:rPr>
        <w:t>2) разрабатывать проекты нормативных правовых актов.</w:t>
      </w:r>
    </w:p>
    <w:p>
      <w:pPr>
        <w:pStyle w:val="para5"/>
        <w:ind w:firstLine="737"/>
        <w:tabs>
          <w:tab w:val="left" w:pos="540" w:leader="none"/>
        </w:tabs>
        <w:rPr>
          <w:sz w:val="26"/>
          <w:szCs w:val="26"/>
        </w:rPr>
      </w:pPr>
      <w:r>
        <w:rPr>
          <w:sz w:val="26"/>
          <w:szCs w:val="26"/>
        </w:rPr>
        <w:t>3) анализировать оперативную, квартальную и годовую бухгалтерскую и статистическую отчетность предприятий жилищно-коммунального хозяйства Чувашской Республики;</w:t>
      </w:r>
    </w:p>
    <w:p>
      <w:pPr>
        <w:pStyle w:val="para5"/>
        <w:ind w:firstLine="737"/>
        <w:tabs>
          <w:tab w:val="left" w:pos="540" w:leader="none"/>
        </w:tabs>
        <w:rPr>
          <w:sz w:val="26"/>
          <w:szCs w:val="26"/>
        </w:rPr>
      </w:pPr>
      <w:r>
        <w:rPr>
          <w:sz w:val="26"/>
          <w:szCs w:val="26"/>
        </w:rPr>
        <w:t>4) осуществлять взаимодействие с подведомственными государственными унитарными предприятиями и хозяйственными обществами с долями (акциями) Чувашской Республики более 50% (осуществляющими деятельность в сфере жилищно-коммунального хозяйства);</w:t>
      </w:r>
    </w:p>
    <w:p>
      <w:pPr>
        <w:pStyle w:val="para5"/>
        <w:ind w:firstLine="737"/>
        <w:tabs>
          <w:tab w:val="left" w:pos="540" w:leader="none"/>
        </w:tabs>
        <w:rPr>
          <w:sz w:val="26"/>
          <w:szCs w:val="26"/>
        </w:rPr>
      </w:pPr>
      <w:r>
        <w:rPr>
          <w:sz w:val="26"/>
          <w:szCs w:val="26"/>
        </w:rPr>
        <w:t>5) участвовать в работе межведомственной мобильной группы по вопросу установления причин образования задолженности организаций, занятых в сфере жилищно-коммунального хозяйства;</w:t>
      </w:r>
    </w:p>
    <w:p>
      <w:pPr>
        <w:pStyle w:val="para5"/>
        <w:ind w:firstLine="737"/>
        <w:tabs>
          <w:tab w:val="left" w:pos="540" w:leader="none"/>
        </w:tabs>
        <w:rPr>
          <w:sz w:val="26"/>
          <w:szCs w:val="26"/>
        </w:rPr>
      </w:pPr>
      <w:r>
        <w:rPr>
          <w:sz w:val="26"/>
          <w:szCs w:val="26"/>
        </w:rPr>
        <w:t>6) обеспечивать деятельность Межведомственной комиссии по подведению итогов экономического соревнования между организациями по производству и распределению электроэнергии, газа и воды.</w:t>
      </w:r>
    </w:p>
    <w:p>
      <w:pPr>
        <w:ind w:firstLine="737"/>
        <w:spacing/>
        <w:jc w:val="both"/>
        <w:keepNext/>
        <w:rPr>
          <w:szCs w:val="26"/>
        </w:rPr>
      </w:pPr>
      <w:r/>
      <w:bookmarkStart w:id="0" w:name="_GoBack"/>
      <w:bookmarkEnd w:id="0"/>
      <w:r/>
      <w:r>
        <w:rPr>
          <w:szCs w:val="26"/>
        </w:rPr>
        <w:t>2.2.5. Гражданский служащий, замещающий должность главного специалиста-эксперта, должен обладать следующими функци</w:t>
      </w:r>
      <w:r>
        <w:rPr>
          <w:szCs w:val="26"/>
        </w:rPr>
        <w:t xml:space="preserve">ональными знаниями: </w:t>
      </w:r>
      <w:r>
        <w:rPr>
          <w:szCs w:val="26"/>
        </w:rPr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1) понятие нормы права, нормативного правового акта, правоотношений и их признаки;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2) понятие проекта нормативного правового акта, инструменты и этапы его разработки;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3) понятие официального отзыва на проекты нормативных правовых актов: этапы, ключевые принципы и технологии разработки;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4) понятие, процедура рассмотрения обращений граждан.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1) разработка, рассмотрение и согласование проектов нормативных правовых актов и других документов;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2) подготовка аналитических, информационных и других материалов;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3) организация и проведение мониторинга применения законодательства.</w:t>
      </w:r>
    </w:p>
    <w:p>
      <w:pPr>
        <w:ind w:firstLine="709"/>
        <w:keepNext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III. Должностные обязанности</w:t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3.1. Главный специалист-эксперт должен:</w:t>
      </w:r>
    </w:p>
    <w:p>
      <w:pPr>
        <w:ind w:firstLine="737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>
      <w:pPr>
        <w:ind w:firstLine="737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 xml:space="preserve">3.2. Кроме того, исходя из задач и функций министерства главный специалист-эксперт: 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3.2.1. разрабатывает с участием заинтересованных органов исполнительной власти Чувашской Республики предложения для Кабинета Министров Чувашской Республики по формированию государственной политики, регулирующей экономические аспекты деятельности жилищно-коммунальной отрасли;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3.2.2. разрабатывает предложения для органов исполнительной власти Чувашской Республики при подготовке проектов стратегий, программ комплексного экономического и социального развития Чувашской Республики по жилищно-коммунальному хозяйству, а также прогнозные и аналитические материалы по вопросам финансово-экономической деятельности предприятий отрасли;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3.2.3. разрабатывает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Республики, регулирующих экономические аспекты деятельности жилищно-коммунальной отрасли;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3.2.4. обеспечивает представление информации в федеральные и республиканские органы исполнительной власти по вопросам финансово-экономической деятельности отрасли;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3.2.5. взаимодействует с органами местного самоуправления, предприятиями и организациями и оказывает им практическую помощь по вопросам, затрагивающим экономические аспекты деятельности жилищно-коммунальной отрасли;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3.2.6. принимает, проверяет и сводит оперативную, квартальную и годовую бухгалтерскую и статистическую отчетность предприятий жилищно-коммунального хозяйства Чувашской Республики;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3.2.7. обеспечивает приемку и проверку квартальной, годовой, оперативной бухгалтерской и иной отчетности, представляемой подведомственными государственными унитарными предприятиями и хозяйственными обществами с долями (акциями) Чувашской Республики более 50% (осуществляющими деятельность в сфере жилищно-коммунального хозяйства);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3.2.8. осуществляет взаимодействие с подведомственными государственными унитарными предприятиями и хозяйственными обществами с долями (акциями) Чувашской Республики более 50% (осуществляющими деятельность в сфере жилищно-коммунального хозяйства), анализирует результаты их деятельности и участвует в подготовке заседаний балансовых комиссий;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3.2.9. организовывает и обеспечивает деятельность Межведомственной комиссии по подведению итогов экономического соревнования между организациями по производству и распределению электроэнергии, газа и воды; готовить материалы и подводить итоги экономического соревнования между ними;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3.2.10. анализирует информацию, поступающую от организаций жилищно-коммунального хозяйства, отнесенных к крупным, экономически или социально значимым организациям Чувашской Республики в республиканскую информационно-аналитическую систему мониторинга, анализа и прогнозирования социально-экономического развития Чувашской Республики и готовить для органов исполнительной власти Чувашской Республики предложения о перспективах развития организаций жилищно-коммунального хозяйства;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3.2.11. участвует в работе межведомственной мобильной группы по вопросу установления причин образования задолженности организаций, занятых в сфере жилищно-коммунального хозяйства;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3.2.12. проводит мониторинг финансово-хозяйственной деятельности предприятий жилищно-коммунального хозяйства на основе представленной отчетности;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3.2.13. проводит мониторинг состояния расчетов и задолженности перед предприятиями жилищно-коммунального комплекса и энергетики;</w:t>
      </w:r>
    </w:p>
    <w:p>
      <w:pPr>
        <w:ind w:firstLine="737"/>
        <w:spacing/>
        <w:jc w:val="both"/>
        <w:outlineLvl w:val="0"/>
        <w:rPr>
          <w:kern w:val="1"/>
          <w:szCs w:val="26"/>
        </w:rPr>
      </w:pPr>
      <w:r>
        <w:rPr>
          <w:kern w:val="1"/>
          <w:szCs w:val="26"/>
        </w:rPr>
        <w:t>3.2.14. разрабатывает и направляет предложения в федеральные органы исполнительной власти, органы государственной власти Чувашской Республики и органы местного самоуправления Чувашской Республики по вопросам реструктуризации и сокращения задолженности потребителей перед предприятиями и организациями жилищно-коммунального комплекса и энергетики;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3.2.15. разрабатывает для предприятий и организаций жилищно-коммунального комплекса и энергетики Чувашской Республики рекомендации по улучшению показателей финансово-хозяйственной деятельности;</w:t>
      </w:r>
    </w:p>
    <w:p>
      <w:pPr>
        <w:ind w:left="-51" w:firstLine="737"/>
        <w:spacing/>
        <w:jc w:val="both"/>
        <w:tabs>
          <w:tab w:val="left" w:pos="0" w:leader="none"/>
        </w:tabs>
        <w:rPr>
          <w:kern w:val="1"/>
          <w:szCs w:val="26"/>
        </w:rPr>
      </w:pPr>
      <w:r>
        <w:rPr>
          <w:kern w:val="1"/>
          <w:szCs w:val="26"/>
        </w:rPr>
        <w:t>3.2.16. обеспечивает представление информации в федеральные и республиканские органы исполнительной власти по вопросам финансово-экономической деятельности отрасли, оплаты за жилищно-коммунальные услуги;</w:t>
      </w:r>
    </w:p>
    <w:p>
      <w:pPr>
        <w:ind w:firstLine="737"/>
        <w:spacing/>
        <w:jc w:val="both"/>
        <w:rPr>
          <w:kern w:val="1"/>
          <w:szCs w:val="26"/>
        </w:rPr>
      </w:pPr>
      <w:r>
        <w:rPr>
          <w:kern w:val="1"/>
          <w:szCs w:val="26"/>
        </w:rPr>
        <w:t>3.2.17. разрабатывает и вносит на рассмотрение Главы Чувашской Республики и Кабинета Министров Чувашской Республики проекты нормативных правовых актов по вопросам, отнесенным к компетенции отдела;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3.2.18. рассматривает обращения организаций и граждан по вопросам, отнесенным к компетенции отдела;</w:t>
      </w:r>
    </w:p>
    <w:p>
      <w:pPr>
        <w:ind w:firstLine="737"/>
        <w:spacing/>
        <w:jc w:val="both"/>
        <w:rPr>
          <w:szCs w:val="26"/>
        </w:rPr>
      </w:pPr>
      <w:r>
        <w:rPr>
          <w:szCs w:val="26"/>
        </w:rPr>
        <w:t>3.2.19. готовит материалы по вопросам, отнесенным к компетенции отдела, для размещения в информационно-телекоммуникационной сети «Интернет» на сайте министерства;</w:t>
      </w:r>
    </w:p>
    <w:p>
      <w:pPr>
        <w:pStyle w:val="para5"/>
        <w:ind w:firstLine="737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3.2.20. соблюдает законодательство о государственной гражданской службе и противодействии коррупции.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IV. Права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Федерации».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 Кроме того, главный специалист-эксперт имеет право: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4.2.1. по поручению руководства представлять интересы министерства в других органах, организациях и учреждениях;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4.2.2. запрашивать и получать от государственных органов, органов местного самоуправления, предприятий, учреждений, организаций, независимо от форм собственности, общественных объединений статистические и справочные материалы, информацию по вопросам, относящимся к компетенции отдела, необходимые для исполнения своих должностных обязанностей;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4.2.3. привлекать в пределах своей компетенции другие организации и специалистов для решения вопросов, относящихся к компетенции отдела;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4.2.4. участвовать в совещаниях, семинарах и других мероприятиях по вопросам, отнесенным к компетенции отдела;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4.2.5. докладывать начальнику отдела обо всех выявленных недостатках в работе в пределах своей компетенции, вносить предложения по совершенствованию работы отдела и министерства;</w:t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4.2.7. взаимодействовать со специалистами структурных подразделений министерства в процессе выполнения своих должностных обязанностей.</w:t>
      </w:r>
    </w:p>
    <w:p>
      <w:pPr>
        <w:ind w:firstLine="709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V. Ответственность гражданского служащего за неисполнение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(ненадлежащее исполнение) должностных обязанностей</w:t>
      </w:r>
    </w:p>
    <w:p>
      <w:pPr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5.1. Главный специалист-эксперт несет предусмотренную законодательством Российской Федерации ответственность за: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неисполнение либо ненадлежащее исполнение должностных обязанностей;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6.1. Вопросы, по которым главный специалист-эксперт вправе самостоятельно принимать управленческие и иные решения: в случае получения соответствующего поручения заместителя министра или начальника отдела по вопросам, входящим в компетенцию отдела.</w:t>
      </w:r>
    </w:p>
    <w:p>
      <w:pPr>
        <w:ind w:firstLine="709"/>
        <w:spacing/>
        <w:jc w:val="both"/>
        <w:rPr>
          <w:b/>
          <w:szCs w:val="26"/>
        </w:rPr>
      </w:pPr>
      <w:r>
        <w:rPr>
          <w:szCs w:val="26"/>
        </w:rPr>
        <w:t>6.2. Вопросы, по которым главный специалист-эксперт обязан самостоятельно принимать управленческие и иные решения: в случае получения соответствующего поручения заместителя министра или начальника отдела по вопросам, входящим в должностные обязанности.</w:t>
      </w: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VII. Перечень вопросов, по которым гражданский служащий</w:t>
      </w: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7.1. Главный специалист-эксперт вправе участвовать в подготовке проектов нормативных правовых актов Чувашской Республики по вопросам, входящим в компетенцию отдела, а также нормативных правовых актов министерства.</w:t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7.2. Главный специалист-эксперт обязан участвовать в подготовке проектов нормативных правовых актов Чувашской Республики по вопросам, входящим в компетенцию отдела, проектов приказов министерства.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VIII. Сроки и процедуры подготовки, рассмотрения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проектов управленческих и иных решений, порядок согласования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и принятия данных решений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rFonts w:eastAsia="Calibri"/>
          <w:kern w:val="1"/>
          <w:szCs w:val="26"/>
        </w:rPr>
      </w:pPr>
      <w:r>
        <w:rPr>
          <w:rFonts w:eastAsia="Calibri"/>
          <w:kern w:val="1"/>
          <w:szCs w:val="26"/>
        </w:rPr>
        <w:t>Главный специалист-эксперт осуществляет подготовку и рассмотрение проектов управленческих решений, согласование и принятие данных решений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года № 03/1-03/119.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  <w:r>
        <w:rPr>
          <w:szCs w:val="26"/>
        </w:rPr>
      </w:r>
    </w:p>
    <w:p>
      <w:pPr>
        <w:spacing/>
        <w:jc w:val="center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 </w:t>
      </w:r>
    </w:p>
    <w:p>
      <w:pPr>
        <w:pStyle w:val="para5"/>
        <w:ind w:firstLine="709"/>
        <w:tabs>
          <w:tab w:val="left" w:pos="540" w:leader="none"/>
        </w:tabs>
        <w:rPr>
          <w:sz w:val="26"/>
          <w:szCs w:val="26"/>
        </w:rPr>
      </w:pPr>
      <w:r>
        <w:rPr>
          <w:sz w:val="26"/>
          <w:szCs w:val="26"/>
        </w:rPr>
        <w:t>9.2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>
      <w:pPr>
        <w:pStyle w:val="para3"/>
        <w:ind w:firstLine="709"/>
        <w: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разъяснений по вопросам, входящим в компетенцию отдела.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X. Перечень государственных услуг, оказываемых гражданам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и организациям в соответствии с административным регламентом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государственного органа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pStyle w:val="para5"/>
        <w:ind w:firstLine="720"/>
        <w:tabs>
          <w:tab w:val="left" w:pos="540" w:leader="none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В соответствии с административным регламентом министерства главный специалист-эксперт в пределах своей компетенции оказание государственных услуг не осуществляет.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XI. Показатели эффективности и результативности профессиональной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служебной деятельности гражданского служащего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Эффективность и результативность профессиональной служебной деятельности главного специалиста-эксперта оценивается на основании приказа министерства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sectPr>
      <w:footnotePr>
        <w:pos w:val="pageBottom"/>
        <w:numFmt w:val="decimal"/>
        <w:numStart w:val="1"/>
        <w:numRestart w:val="eachSect"/>
      </w:footnotePr>
      <w:endnotePr>
        <w:pos w:val="docEnd"/>
        <w:numFmt w:val="decimal"/>
        <w:numStart w:val="1"/>
        <w:numRestart w:val="eachSect"/>
      </w:endnotePr>
      <w:headerReference w:type="default" r:id="rId8"/>
      <w:type w:val="nextPage"/>
      <w:pgSz w:h="16840" w:w="11907"/>
      <w:pgMar w:left="1701" w:top="1134" w:right="851" w:bottom="966" w:header="709"/>
      <w:paperSrc w:first="0" w:other="0"/>
      <w:pgNumType w:fmt="decimal" w:start="1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TimesET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7"/>
      <w:spacing/>
      <w:jc w:val="center"/>
    </w:pPr>
    <w:r>
      <w:fldChar w:fldCharType="begin"/>
      <w:instrText xml:space="preserve"> PAGE </w:instrText>
      <w:fldChar w:fldCharType="separate"/>
      <w:t>8</w:t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rFonts w:cs="Times New Roman"/>
        </w:rPr>
      </w:rPr>
    </w:lvl>
    <w:lvl w:ilvl="1">
      <w:start w:val="1"/>
      <w:numFmt w:val="decimal"/>
      <w:suff w:val="tab"/>
      <w:lvlText w:val="%1.%2."/>
      <w:lvlJc w:val="left"/>
      <w:pPr>
        <w:ind w:left="360" w:hanging="0"/>
      </w:pPr>
      <w:rPr>
        <w:rPr>
          <w:rFonts w:cs="Times New Roman"/>
        </w:rPr>
      </w:rPr>
    </w:lvl>
    <w:lvl w:ilvl="2">
      <w:start w:val="1"/>
      <w:numFmt w:val="decimal"/>
      <w:suff w:val="tab"/>
      <w:lvlText w:val="%1.%2.%3."/>
      <w:lvlJc w:val="left"/>
      <w:pPr>
        <w:ind w:left="720" w:hanging="0"/>
      </w:pPr>
      <w:rPr>
        <w:rPr>
          <w:rFonts w:cs="Times New Roman"/>
        </w:rPr>
      </w:rPr>
    </w:lvl>
    <w:lvl w:ilvl="3">
      <w:start w:val="1"/>
      <w:numFmt w:val="decimal"/>
      <w:suff w:val="tab"/>
      <w:lvlText w:val="%1.%2.%3.%4."/>
      <w:lvlJc w:val="left"/>
      <w:pPr>
        <w:ind w:left="1080" w:hanging="0"/>
      </w:pPr>
      <w:rPr>
        <w:rPr>
          <w:rFonts w:cs="Times New Roman"/>
        </w:rPr>
      </w:r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  <w:rPr>
        <w:rPr>
          <w:rFonts w:cs="Times New Roman"/>
        </w:rPr>
      </w:r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  <w:rPr>
        <w:rPr>
          <w:rFonts w:cs="Times New Roman"/>
        </w:rPr>
      </w:r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  <w:rPr>
        <w:rPr>
          <w:rFonts w:cs="Times New Roman"/>
        </w:rPr>
      </w:r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  <w:rPr>
        <w:rPr>
          <w:rFonts w:cs="Times New Roman"/>
        </w:rPr>
      </w:r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  <w:rPr>
        <w:rPr>
          <w:rFonts w:cs="Times New Roman"/>
        </w:rPr>
      </w:rPr>
    </w:lvl>
  </w:abstractNum>
  <w:abstractNum w:abstractNumId="2">
    <w:multiLevelType w:val="hybridMultilevel"/>
    <w:name w:val="Нумерованный список 1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rFonts w:cs="Times New Roman"/>
          <w:u w:color="auto" w:val="none"/>
        </w:rPr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rPr>
          <w:rFonts w:cs="Times New Roman"/>
          <w:u w:color="auto" w:val="none"/>
        </w:rPr>
      </w:rPr>
    </w:lvl>
    <w:lvl w:ilvl="2">
      <w:start w:val="1"/>
      <w:numFmt w:val="decimal"/>
      <w:suff w:val="tab"/>
      <w:lvlText w:val="%1.%2.%3."/>
      <w:lvlJc w:val="left"/>
      <w:pPr>
        <w:ind w:left="1418" w:hanging="0"/>
      </w:pPr>
      <w:rPr>
        <w:rPr>
          <w:rFonts w:cs="Times New Roman"/>
          <w:u w:color="auto" w:val="none"/>
        </w:rPr>
      </w:rPr>
    </w:lvl>
    <w:lvl w:ilvl="3">
      <w:start w:val="1"/>
      <w:numFmt w:val="decimal"/>
      <w:suff w:val="tab"/>
      <w:lvlText w:val="%1.%2.%3.%4."/>
      <w:lvlJc w:val="left"/>
      <w:pPr>
        <w:ind w:left="2127" w:hanging="0"/>
      </w:pPr>
      <w:rPr>
        <w:rPr>
          <w:rFonts w:cs="Times New Roman"/>
          <w:u w:color="auto" w:val="none"/>
        </w:rPr>
      </w:r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  <w:rPr>
        <w:rPr>
          <w:rFonts w:cs="Times New Roman"/>
          <w:u w:color="auto" w:val="none"/>
        </w:rPr>
      </w:r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  <w:rPr>
        <w:rPr>
          <w:rFonts w:cs="Times New Roman"/>
          <w:u w:color="auto" w:val="none"/>
        </w:rPr>
      </w:r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  <w:rPr>
        <w:rPr>
          <w:rFonts w:cs="Times New Roman"/>
          <w:u w:color="auto" w:val="none"/>
        </w:rPr>
      </w:r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  <w:rPr>
        <w:rPr>
          <w:rFonts w:cs="Times New Roman"/>
          <w:u w:color="auto" w:val="none"/>
        </w:rPr>
      </w:r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  <w:rPr>
        <w:rPr>
          <w:rFonts w:cs="Times New Roman"/>
          <w:u w:color="auto" w:val="none"/>
        </w:rPr>
      </w:rPr>
    </w:lvl>
  </w:abstractNum>
  <w:abstractNum w:abstractNumId="4">
    <w:multiLevelType w:val="hybridMultilevel"/>
    <w:name w:val="Нумерованный список 7"/>
    <w:lvl w:ilvl="0">
      <w:numFmt w:val="bullet"/>
      <w:suff w:val="tab"/>
      <w:lvlText w:val="–"/>
      <w:lvlJc w:val="left"/>
      <w:pPr>
        <w:ind w:left="720" w:hanging="0"/>
      </w:pPr>
      <w:rPr>
        <w:rPr>
          <w:rFonts w:ascii="Times New Roman" w:hAnsi="Times New Roman" w:eastAsia="Times New Roman"/>
        </w:rPr>
      </w:rPr>
    </w:lvl>
    <w:lvl w:ilvl="1">
      <w:numFmt w:val="bullet"/>
      <w:suff w:val="tab"/>
      <w:lvlText w:val="o"/>
      <w:lvlJc w:val="left"/>
      <w:pPr>
        <w:ind w:left="144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216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88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60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432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04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76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480" w:hanging="0"/>
      </w:pPr>
      <w:rPr>
        <w:rPr>
          <w:rFonts w:ascii="Wingdings" w:hAnsi="Wingdings" w:eastAsia="Wingdings" w:cs="Wingdings"/>
        </w:rPr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–"/>
      <w:lvlJc w:val="left"/>
      <w:pPr>
        <w:ind w:left="720" w:hanging="0"/>
      </w:pPr>
      <w:rPr>
        <w:rPr>
          <w:rFonts w:ascii="Times New Roman" w:hAnsi="Times New Roman" w:eastAsia="Times New Roman"/>
        </w:rPr>
      </w:rPr>
    </w:lvl>
    <w:lvl w:ilvl="1">
      <w:numFmt w:val="bullet"/>
      <w:suff w:val="tab"/>
      <w:lvlText w:val="o"/>
      <w:lvlJc w:val="left"/>
      <w:pPr>
        <w:ind w:left="144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216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88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60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432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04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76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480" w:hanging="0"/>
      </w:pPr>
      <w:rPr>
        <w:rPr>
          <w:rFonts w:ascii="Wingdings" w:hAnsi="Wingdings" w:eastAsia="Wingdings" w:cs="Wingdings"/>
        </w:rPr>
      </w:rPr>
    </w:lvl>
  </w:abstractNum>
  <w:abstractNum w:abstractNumId="6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>
        <w:rPr>
          <w:rFonts w:cs="Times New Roman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Pr>
          <w:rFonts w:cs="Times New Roman"/>
        </w:rPr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Pr>
          <w:rFonts w:cs="Times New Roman"/>
        </w:rPr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Pr>
          <w:rFonts w:cs="Times New Roman"/>
        </w:rPr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Pr>
          <w:rFonts w:cs="Times New Roman"/>
        </w:rPr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Pr>
          <w:rFonts w:cs="Times New Roman"/>
        </w:rPr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Pr>
          <w:rFonts w:cs="Times New Roman"/>
        </w:rPr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Pr>
          <w:rFonts w:cs="Times New Roman"/>
        </w:rPr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Pr>
          <w:rFonts w:cs="Times New Roman"/>
        </w:rPr>
      </w:rPr>
    </w:lvl>
  </w:abstractNum>
  <w:abstractNum w:abstractNumId="7">
    <w:multiLevelType w:val="hybridMultilevel"/>
    <w:name w:val="Нумерованный список 6"/>
    <w:lvl w:ilvl="0">
      <w:start w:val="7"/>
      <w:numFmt w:val="decimal"/>
      <w:suff w:val="tab"/>
      <w:lvlText w:val="%1."/>
      <w:lvlJc w:val="left"/>
      <w:pPr>
        <w:ind w:left="0" w:hanging="0"/>
      </w:pPr>
      <w:rPr>
        <w:rPr>
          <w:rFonts w:cs="Times New Roman"/>
        </w:rPr>
      </w:rPr>
    </w:lvl>
    <w:lvl w:ilvl="1">
      <w:start w:val="1"/>
      <w:numFmt w:val="decimal"/>
      <w:suff w:val="tab"/>
      <w:lvlText w:val="%1.%2."/>
      <w:lvlJc w:val="left"/>
      <w:pPr>
        <w:ind w:left="0" w:hanging="0"/>
      </w:pPr>
      <w:rPr>
        <w:rPr>
          <w:rFonts w:cs="Times New Roman"/>
        </w:rPr>
      </w:rPr>
    </w:lvl>
    <w:lvl w:ilvl="2">
      <w:start w:val="1"/>
      <w:numFmt w:val="decimal"/>
      <w:suff w:val="tab"/>
      <w:lvlText w:val="%1.%2.%3."/>
      <w:lvlJc w:val="left"/>
      <w:pPr>
        <w:ind w:left="0" w:hanging="0"/>
      </w:pPr>
      <w:rPr>
        <w:rPr>
          <w:rFonts w:cs="Times New Roman"/>
        </w:rPr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  <w:rPr>
        <w:rPr>
          <w:rFonts w:cs="Times New Roman"/>
        </w:rPr>
      </w:rPr>
    </w:lvl>
    <w:lvl w:ilvl="4">
      <w:start w:val="1"/>
      <w:numFmt w:val="decimal"/>
      <w:suff w:val="tab"/>
      <w:lvlText w:val="%1.%2.%3.%4.%5."/>
      <w:lvlJc w:val="left"/>
      <w:pPr>
        <w:ind w:left="0" w:hanging="0"/>
      </w:pPr>
      <w:rPr>
        <w:rPr>
          <w:rFonts w:cs="Times New Roman"/>
        </w:rPr>
      </w:r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  <w:rPr>
        <w:rPr>
          <w:rFonts w:cs="Times New Roman"/>
        </w:rPr>
      </w:r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  <w:rPr>
        <w:rPr>
          <w:rFonts w:cs="Times New Roman"/>
        </w:rPr>
      </w:r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  <w:rPr>
        <w:rPr>
          <w:rFonts w:cs="Times New Roman"/>
        </w:rPr>
      </w:r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  <w:rPr>
        <w:rPr>
          <w:rFonts w:cs="Times New Roman"/>
        </w:rPr>
      </w:rPr>
    </w:lvl>
  </w:abstractNum>
  <w:abstractNum w:abstractNumId="8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rFonts w:cs="Times New Roman"/>
          <w:u w:color="auto" w:val="none"/>
        </w:rPr>
      </w:rPr>
    </w:lvl>
    <w:lvl w:ilvl="1">
      <w:start w:val="4"/>
      <w:numFmt w:val="decimal"/>
      <w:suff w:val="tab"/>
      <w:lvlText w:val="%1.%2."/>
      <w:lvlJc w:val="left"/>
      <w:pPr>
        <w:ind w:left="709" w:hanging="0"/>
      </w:pPr>
      <w:rPr>
        <w:rPr>
          <w:rFonts w:cs="Times New Roman"/>
          <w:u w:color="auto" w:val="none"/>
        </w:rPr>
      </w:rPr>
    </w:lvl>
    <w:lvl w:ilvl="2">
      <w:start w:val="1"/>
      <w:numFmt w:val="decimal"/>
      <w:suff w:val="tab"/>
      <w:lvlText w:val="%1.%2.%3."/>
      <w:lvlJc w:val="left"/>
      <w:pPr>
        <w:ind w:left="1418" w:hanging="0"/>
      </w:pPr>
      <w:rPr>
        <w:rPr>
          <w:rFonts w:cs="Times New Roman"/>
          <w:u w:color="auto" w:val="none"/>
        </w:rPr>
      </w:rPr>
    </w:lvl>
    <w:lvl w:ilvl="3">
      <w:start w:val="1"/>
      <w:numFmt w:val="decimal"/>
      <w:suff w:val="tab"/>
      <w:lvlText w:val="%1.%2.%3.%4."/>
      <w:lvlJc w:val="left"/>
      <w:pPr>
        <w:ind w:left="2127" w:hanging="0"/>
      </w:pPr>
      <w:rPr>
        <w:rPr>
          <w:rFonts w:cs="Times New Roman"/>
          <w:u w:color="auto" w:val="none"/>
        </w:rPr>
      </w:r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  <w:rPr>
        <w:rPr>
          <w:rFonts w:cs="Times New Roman"/>
          <w:u w:color="auto" w:val="none"/>
        </w:rPr>
      </w:r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  <w:rPr>
        <w:rPr>
          <w:rFonts w:cs="Times New Roman"/>
          <w:u w:color="auto" w:val="none"/>
        </w:rPr>
      </w:r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  <w:rPr>
        <w:rPr>
          <w:rFonts w:cs="Times New Roman"/>
          <w:u w:color="auto" w:val="none"/>
        </w:rPr>
      </w:r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  <w:rPr>
        <w:rPr>
          <w:rFonts w:cs="Times New Roman"/>
          <w:u w:color="auto" w:val="none"/>
        </w:rPr>
      </w:r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  <w:rPr>
        <w:rPr>
          <w:rFonts w:cs="Times New Roman"/>
          <w:u w:color="auto" w:val="none"/>
        </w:rPr>
      </w:rPr>
    </w:lvl>
  </w:abstractNum>
  <w:abstractNum w:abstractNumId="9">
    <w:multiLevelType w:val="single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rFonts w:cs="Times New Roman"/>
        </w:rPr>
      </w:rPr>
    </w:lvl>
  </w:abstractNum>
  <w:abstractNum w:abstractNumId="10">
    <w:multiLevelType w:val="singleLevel"/>
    <w:name w:val="Нумерованный список 10"/>
    <w:lvl w:ilvl="0">
      <w:numFmt w:val="bullet"/>
      <w:suff w:val="tab"/>
      <w:lvlText w:val="-"/>
      <w:lvlJc w:val="left"/>
      <w:pPr>
        <w:ind w:left="709" w:hanging="0"/>
      </w:pPr>
      <w:rPr>
        <w:rPr>
          <w:rFonts w:ascii="Times New Roman" w:hAnsi="Times New Roman"/>
          <w:color w:val="800000"/>
          <w:sz w:val="26"/>
        </w:rPr>
      </w:rPr>
    </w:lvl>
  </w:abstractNum>
  <w:abstractNum w:abstractNumId="11">
    <w:multiLevelType w:val="hybridMultilevel"/>
    <w:name w:val="Нумерованный список 8"/>
    <w:lvl w:ilvl="0">
      <w:numFmt w:val="bullet"/>
      <w:suff w:val="tab"/>
      <w:lvlText w:val="-"/>
      <w:lvlJc w:val="left"/>
      <w:pPr>
        <w:ind w:left="705" w:hanging="0"/>
      </w:pPr>
      <w:rPr>
        <w:rPr>
          <w:rFonts w:ascii="Times New Roman" w:hAnsi="Times New Roman" w:eastAsia="Times New Roman"/>
        </w:rPr>
      </w:rPr>
    </w:lvl>
    <w:lvl w:ilvl="1">
      <w:numFmt w:val="bullet"/>
      <w:suff w:val="tab"/>
      <w:lvlText w:val="o"/>
      <w:lvlJc w:val="left"/>
      <w:pPr>
        <w:ind w:left="1425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2145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865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585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4305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025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745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465" w:hanging="0"/>
      </w:pPr>
      <w:rPr>
        <w:rPr>
          <w:rFonts w:ascii="Wingdings" w:hAnsi="Wingdings" w:eastAsia="Wingdings" w:cs="Wingdings"/>
        </w:rPr>
      </w:rPr>
    </w:lvl>
  </w:abstractNum>
  <w:abstractNum w:abstractNumId="12">
    <w:multiLevelType w:val="hybridMultilevel"/>
    <w:name w:val="Нумерованный список 9"/>
    <w:lvl w:ilvl="0">
      <w:numFmt w:val="bullet"/>
      <w:suff w:val="tab"/>
      <w:lvlText w:val="-"/>
      <w:lvlJc w:val="left"/>
      <w:pPr>
        <w:ind w:left="360" w:hanging="0"/>
      </w:pPr>
      <w:rPr>
        <w:rPr>
          <w:rFonts w:ascii="Times New Roman" w:hAnsi="Times New Roman" w:eastAsia="Times New Roman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eachSect"/>
  </w:footnotePr>
  <w:endnotePr>
    <w:pos w:val="docEnd"/>
    <w:numFmt w:val="decimal"/>
    <w:numStart w:val="1"/>
    <w:numRestart w:val="eachSect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73"/>
      <w:tmLastPosIdx w:val="77"/>
    </w:tmLastPosCaret>
    <w:tmLastPosAnchor>
      <w:tmLastPosPgfIdx w:val="0"/>
      <w:tmLastPosIdx w:val="0"/>
    </w:tmLastPosAnchor>
    <w:tmLastPosTblRect w:left="0" w:top="0" w:right="0" w:bottom="0"/>
  </w:tmLastPos>
  <w:tmAppRevision w:date="1550131031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6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TimesET" w:hAnsi="TimesET"/>
      <w:b/>
      <w:bCs/>
      <w:sz w:val="24"/>
    </w:rPr>
  </w:style>
  <w:style w:type="paragraph" w:styleId="para2">
    <w:name w:val="heading 3"/>
    <w:qFormat/>
    <w:basedOn w:val="para0"/>
    <w:next w:val="para0"/>
    <w:pPr>
      <w:spacing/>
      <w:jc w:val="both"/>
      <w:keepNext/>
      <w:outlineLvl w:val="2"/>
      <w:widowControl w:val="0"/>
    </w:pPr>
    <w:rPr>
      <w:sz w:val="24"/>
      <w:szCs w:val="20"/>
    </w:rPr>
  </w:style>
  <w:style w:type="paragraph" w:styleId="para3" w:customStyle="1">
    <w:name w:val="ConsNonformat"/>
    <w:qFormat/>
    <w:rPr>
      <w:rFonts w:ascii="Courier New" w:hAnsi="Courier New" w:cs="Courier New"/>
      <w:sz w:val="28"/>
      <w:szCs w:val="28"/>
    </w:rPr>
  </w:style>
  <w:style w:type="paragraph" w:styleId="para4" w:customStyle="1">
    <w:name w:val="ConsNormal"/>
    <w:qFormat/>
    <w:pPr>
      <w:ind w:firstLine="720"/>
    </w:pPr>
    <w:rPr>
      <w:rFonts w:ascii="Arial" w:hAnsi="Arial" w:cs="Arial"/>
      <w:sz w:val="28"/>
      <w:szCs w:val="28"/>
    </w:rPr>
  </w:style>
  <w:style w:type="paragraph" w:styleId="para5">
    <w:name w:val="Body Text"/>
    <w:qFormat/>
    <w:basedOn w:val="para0"/>
    <w:pPr>
      <w:spacing/>
      <w:jc w:val="both"/>
    </w:pPr>
    <w:rPr>
      <w:sz w:val="28"/>
      <w:szCs w:val="28"/>
    </w:rPr>
  </w:style>
  <w:style w:type="paragraph" w:styleId="para6">
    <w:name w:val="Body Text Indent 3"/>
    <w:qFormat/>
    <w:basedOn w:val="para0"/>
    <w:pPr>
      <w:ind w:firstLine="720"/>
      <w:spacing/>
      <w:jc w:val="both"/>
      <w:keepNext/>
      <w:keepLines/>
    </w:pPr>
    <w:rPr>
      <w:szCs w:val="26"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para8">
    <w:name w:val="Body Text Indent"/>
    <w:qFormat/>
    <w:basedOn w:val="para0"/>
    <w:rPr>
      <w:sz w:val="28"/>
      <w:szCs w:val="28"/>
    </w:rPr>
  </w:style>
  <w:style w:type="paragraph" w:styleId="para9">
    <w:name w:val="Title"/>
    <w:qFormat/>
    <w:basedOn w:val="para0"/>
    <w:pPr>
      <w:spacing/>
      <w:jc w:val="center"/>
      <w:tabs>
        <w:tab w:val="left" w:pos="-2694" w:leader="none"/>
      </w:tabs>
    </w:pPr>
    <w:rPr>
      <w:rFonts w:ascii="TimesET" w:hAnsi="TimesET"/>
      <w:b/>
      <w:sz w:val="20"/>
      <w:szCs w:val="20"/>
    </w:rPr>
  </w:style>
  <w:style w:type="paragraph" w:styleId="para10">
    <w:name w:val="Body Text Indent 2"/>
    <w:qFormat/>
    <w:basedOn w:val="para0"/>
    <w:pPr>
      <w:ind w:firstLine="720"/>
      <w:spacing/>
      <w:jc w:val="both"/>
      <w:widowControl w:val="0"/>
      <w:tabs>
        <w:tab w:val="left" w:pos="859" w:leader="none"/>
      </w:tabs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spacing w:val="-1"/>
      <w:w w:val="101"/>
      <w:sz w:val="20"/>
      <w:szCs w:val="18"/>
    </w:rPr>
  </w:style>
  <w:style w:type="paragraph" w:styleId="para11" w:customStyle="1">
    <w:name w:val="Основной текст 21"/>
    <w:qFormat/>
    <w:basedOn w:val="para0"/>
    <w:pPr>
      <w:ind w:firstLine="720"/>
      <w:spacing/>
      <w:jc w:val="both"/>
      <w:widowControl w:val="0"/>
    </w:pPr>
    <w:rPr>
      <w:sz w:val="28"/>
      <w:szCs w:val="20"/>
    </w:rPr>
  </w:style>
  <w:style w:type="paragraph" w:styleId="para12" w:customStyle="1">
    <w:name w:val="ConsPlusNonformat"/>
    <w:qFormat/>
    <w:pPr>
      <w:widowControl w:val="0"/>
    </w:pPr>
    <w:rPr>
      <w:rFonts w:ascii="Courier New" w:hAnsi="Courier New" w:cs="Courier New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 w:customStyle="1">
    <w:name w:val="ConsPlusNormal"/>
    <w:qFormat/>
    <w:rPr>
      <w:rFonts w:ascii="Arial" w:hAnsi="Arial" w:cs="Arial"/>
    </w:rPr>
  </w:style>
  <w:style w:type="paragraph" w:styleId="para15">
    <w:name w:val="Endnote Text"/>
    <w:qFormat/>
    <w:basedOn w:val="para0"/>
    <w:rPr>
      <w:sz w:val="20"/>
      <w:szCs w:val="20"/>
    </w:rPr>
  </w:style>
  <w:style w:type="paragraph" w:styleId="para16">
    <w:name w:val="Footnote Text"/>
    <w:qFormat/>
    <w:basedOn w:val="para0"/>
    <w:rPr>
      <w:sz w:val="20"/>
      <w:szCs w:val="20"/>
    </w:rPr>
  </w:style>
  <w:style w:type="paragraph" w:styleId="para17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2" w:customStyle="1">
    <w:name w:val="Заголовок 3 Знак"/>
    <w:basedOn w:val="char0"/>
    <w:rPr>
      <w:rFonts w:ascii="Cambria" w:hAnsi="Cambria" w:eastAsia="Times New Roman" w:cs="Times New Roman"/>
      <w:b/>
      <w:bCs/>
      <w:sz w:val="26"/>
      <w:szCs w:val="26"/>
    </w:rPr>
  </w:style>
  <w:style w:type="character" w:styleId="char3" w:customStyle="1">
    <w:name w:val="Основной текст Знак"/>
    <w:basedOn w:val="char0"/>
    <w:rPr>
      <w:sz w:val="28"/>
      <w:lang w:val="ru-ru"/>
    </w:rPr>
  </w:style>
  <w:style w:type="character" w:styleId="char4" w:customStyle="1">
    <w:name w:val="Основной текст с отступом 3 Знак"/>
    <w:basedOn w:val="char0"/>
    <w:rPr>
      <w:sz w:val="16"/>
      <w:szCs w:val="16"/>
    </w:rPr>
  </w:style>
  <w:style w:type="character" w:styleId="char5">
    <w:name w:val="Page Number"/>
    <w:basedOn w:val="char0"/>
    <w:rPr>
      <w:rFonts w:cs="Times New Roman"/>
    </w:rPr>
  </w:style>
  <w:style w:type="character" w:styleId="char6" w:customStyle="1">
    <w:name w:val="Верхний колонтитул Знак"/>
    <w:basedOn w:val="char0"/>
    <w:rPr>
      <w:sz w:val="26"/>
      <w:szCs w:val="24"/>
    </w:rPr>
  </w:style>
  <w:style w:type="character" w:styleId="char7" w:customStyle="1">
    <w:name w:val="Основной текст с отступом Знак"/>
    <w:basedOn w:val="char0"/>
    <w:rPr>
      <w:sz w:val="26"/>
      <w:szCs w:val="24"/>
    </w:rPr>
  </w:style>
  <w:style w:type="character" w:styleId="char8" w:customStyle="1">
    <w:name w:val="Название Знак"/>
    <w:basedOn w:val="char0"/>
    <w:rPr>
      <w:rFonts w:ascii="TimesET" w:hAnsi="TimesET"/>
      <w:b/>
    </w:rPr>
  </w:style>
  <w:style w:type="character" w:styleId="char9" w:customStyle="1">
    <w:name w:val="Основной текст с отступом 2 Знак"/>
    <w:basedOn w:val="char0"/>
    <w:rPr>
      <w:sz w:val="26"/>
      <w:szCs w:val="24"/>
    </w:rPr>
  </w:style>
  <w:style w:type="character" w:styleId="char10" w:customStyle="1">
    <w:name w:val="Текст выноски Знак"/>
    <w:basedOn w:val="char0"/>
  </w:style>
  <w:style w:type="character" w:styleId="char11" w:customStyle="1">
    <w:name w:val="Текст концевой сноски Знак"/>
    <w:basedOn w:val="char0"/>
    <w:rPr>
      <w:rFonts w:cs="Times New Roman"/>
    </w:rPr>
  </w:style>
  <w:style w:type="character" w:styleId="char12">
    <w:name w:val="Endnote Reference"/>
    <w:basedOn w:val="char0"/>
    <w:rPr>
      <w:rFonts w:cs="Times New Roman"/>
      <w:vertAlign w:val="superscript"/>
    </w:rPr>
  </w:style>
  <w:style w:type="character" w:styleId="char13" w:customStyle="1">
    <w:name w:val="Текст сноски Знак"/>
    <w:basedOn w:val="char0"/>
    <w:rPr>
      <w:rFonts w:cs="Times New Roman"/>
    </w:rPr>
  </w:style>
  <w:style w:type="character" w:styleId="char14">
    <w:name w:val="Footnote Reference"/>
    <w:basedOn w:val="char0"/>
    <w:rPr>
      <w:rFonts w:cs="Times New Roman"/>
      <w:vertAlign w:val="superscript"/>
    </w:rPr>
  </w:style>
  <w:style w:type="character" w:styleId="char15" w:customStyle="1">
    <w:name w:val="Нижний колонтитул Знак"/>
    <w:basedOn w:val="char0"/>
    <w:rPr>
      <w:sz w:val="24"/>
    </w:rPr>
  </w:style>
  <w:style w:type="character" w:styleId="char16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6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TimesET" w:hAnsi="TimesET"/>
      <w:b/>
      <w:bCs/>
      <w:sz w:val="24"/>
    </w:rPr>
  </w:style>
  <w:style w:type="paragraph" w:styleId="para2">
    <w:name w:val="heading 3"/>
    <w:qFormat/>
    <w:basedOn w:val="para0"/>
    <w:next w:val="para0"/>
    <w:pPr>
      <w:spacing/>
      <w:jc w:val="both"/>
      <w:keepNext/>
      <w:outlineLvl w:val="2"/>
      <w:widowControl w:val="0"/>
    </w:pPr>
    <w:rPr>
      <w:sz w:val="24"/>
      <w:szCs w:val="20"/>
    </w:rPr>
  </w:style>
  <w:style w:type="paragraph" w:styleId="para3" w:customStyle="1">
    <w:name w:val="ConsNonformat"/>
    <w:qFormat/>
    <w:rPr>
      <w:rFonts w:ascii="Courier New" w:hAnsi="Courier New" w:cs="Courier New"/>
      <w:sz w:val="28"/>
      <w:szCs w:val="28"/>
    </w:rPr>
  </w:style>
  <w:style w:type="paragraph" w:styleId="para4" w:customStyle="1">
    <w:name w:val="ConsNormal"/>
    <w:qFormat/>
    <w:pPr>
      <w:ind w:firstLine="720"/>
    </w:pPr>
    <w:rPr>
      <w:rFonts w:ascii="Arial" w:hAnsi="Arial" w:cs="Arial"/>
      <w:sz w:val="28"/>
      <w:szCs w:val="28"/>
    </w:rPr>
  </w:style>
  <w:style w:type="paragraph" w:styleId="para5">
    <w:name w:val="Body Text"/>
    <w:qFormat/>
    <w:basedOn w:val="para0"/>
    <w:pPr>
      <w:spacing/>
      <w:jc w:val="both"/>
    </w:pPr>
    <w:rPr>
      <w:sz w:val="28"/>
      <w:szCs w:val="28"/>
    </w:rPr>
  </w:style>
  <w:style w:type="paragraph" w:styleId="para6">
    <w:name w:val="Body Text Indent 3"/>
    <w:qFormat/>
    <w:basedOn w:val="para0"/>
    <w:pPr>
      <w:ind w:firstLine="720"/>
      <w:spacing/>
      <w:jc w:val="both"/>
      <w:keepNext/>
      <w:keepLines/>
    </w:pPr>
    <w:rPr>
      <w:szCs w:val="26"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para8">
    <w:name w:val="Body Text Indent"/>
    <w:qFormat/>
    <w:basedOn w:val="para0"/>
    <w:rPr>
      <w:sz w:val="28"/>
      <w:szCs w:val="28"/>
    </w:rPr>
  </w:style>
  <w:style w:type="paragraph" w:styleId="para9">
    <w:name w:val="Title"/>
    <w:qFormat/>
    <w:basedOn w:val="para0"/>
    <w:pPr>
      <w:spacing/>
      <w:jc w:val="center"/>
      <w:tabs>
        <w:tab w:val="left" w:pos="-2694" w:leader="none"/>
      </w:tabs>
    </w:pPr>
    <w:rPr>
      <w:rFonts w:ascii="TimesET" w:hAnsi="TimesET"/>
      <w:b/>
      <w:sz w:val="20"/>
      <w:szCs w:val="20"/>
    </w:rPr>
  </w:style>
  <w:style w:type="paragraph" w:styleId="para10">
    <w:name w:val="Body Text Indent 2"/>
    <w:qFormat/>
    <w:basedOn w:val="para0"/>
    <w:pPr>
      <w:ind w:firstLine="720"/>
      <w:spacing/>
      <w:jc w:val="both"/>
      <w:widowControl w:val="0"/>
      <w:tabs>
        <w:tab w:val="left" w:pos="859" w:leader="none"/>
      </w:tabs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spacing w:val="-1"/>
      <w:w w:val="101"/>
      <w:sz w:val="20"/>
      <w:szCs w:val="18"/>
    </w:rPr>
  </w:style>
  <w:style w:type="paragraph" w:styleId="para11" w:customStyle="1">
    <w:name w:val="Основной текст 21"/>
    <w:qFormat/>
    <w:basedOn w:val="para0"/>
    <w:pPr>
      <w:ind w:firstLine="720"/>
      <w:spacing/>
      <w:jc w:val="both"/>
      <w:widowControl w:val="0"/>
    </w:pPr>
    <w:rPr>
      <w:sz w:val="28"/>
      <w:szCs w:val="20"/>
    </w:rPr>
  </w:style>
  <w:style w:type="paragraph" w:styleId="para12" w:customStyle="1">
    <w:name w:val="ConsPlusNonformat"/>
    <w:qFormat/>
    <w:pPr>
      <w:widowControl w:val="0"/>
    </w:pPr>
    <w:rPr>
      <w:rFonts w:ascii="Courier New" w:hAnsi="Courier New" w:cs="Courier New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 w:customStyle="1">
    <w:name w:val="ConsPlusNormal"/>
    <w:qFormat/>
    <w:rPr>
      <w:rFonts w:ascii="Arial" w:hAnsi="Arial" w:cs="Arial"/>
    </w:rPr>
  </w:style>
  <w:style w:type="paragraph" w:styleId="para15">
    <w:name w:val="Endnote Text"/>
    <w:qFormat/>
    <w:basedOn w:val="para0"/>
    <w:rPr>
      <w:sz w:val="20"/>
      <w:szCs w:val="20"/>
    </w:rPr>
  </w:style>
  <w:style w:type="paragraph" w:styleId="para16">
    <w:name w:val="Footnote Text"/>
    <w:qFormat/>
    <w:basedOn w:val="para0"/>
    <w:rPr>
      <w:sz w:val="20"/>
      <w:szCs w:val="20"/>
    </w:rPr>
  </w:style>
  <w:style w:type="paragraph" w:styleId="para17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2" w:customStyle="1">
    <w:name w:val="Заголовок 3 Знак"/>
    <w:basedOn w:val="char0"/>
    <w:rPr>
      <w:rFonts w:ascii="Cambria" w:hAnsi="Cambria" w:eastAsia="Times New Roman" w:cs="Times New Roman"/>
      <w:b/>
      <w:bCs/>
      <w:sz w:val="26"/>
      <w:szCs w:val="26"/>
    </w:rPr>
  </w:style>
  <w:style w:type="character" w:styleId="char3" w:customStyle="1">
    <w:name w:val="Основной текст Знак"/>
    <w:basedOn w:val="char0"/>
    <w:rPr>
      <w:sz w:val="28"/>
      <w:lang w:val="ru-ru"/>
    </w:rPr>
  </w:style>
  <w:style w:type="character" w:styleId="char4" w:customStyle="1">
    <w:name w:val="Основной текст с отступом 3 Знак"/>
    <w:basedOn w:val="char0"/>
    <w:rPr>
      <w:sz w:val="16"/>
      <w:szCs w:val="16"/>
    </w:rPr>
  </w:style>
  <w:style w:type="character" w:styleId="char5">
    <w:name w:val="Page Number"/>
    <w:basedOn w:val="char0"/>
    <w:rPr>
      <w:rFonts w:cs="Times New Roman"/>
    </w:rPr>
  </w:style>
  <w:style w:type="character" w:styleId="char6" w:customStyle="1">
    <w:name w:val="Верхний колонтитул Знак"/>
    <w:basedOn w:val="char0"/>
    <w:rPr>
      <w:sz w:val="26"/>
      <w:szCs w:val="24"/>
    </w:rPr>
  </w:style>
  <w:style w:type="character" w:styleId="char7" w:customStyle="1">
    <w:name w:val="Основной текст с отступом Знак"/>
    <w:basedOn w:val="char0"/>
    <w:rPr>
      <w:sz w:val="26"/>
      <w:szCs w:val="24"/>
    </w:rPr>
  </w:style>
  <w:style w:type="character" w:styleId="char8" w:customStyle="1">
    <w:name w:val="Название Знак"/>
    <w:basedOn w:val="char0"/>
    <w:rPr>
      <w:rFonts w:ascii="TimesET" w:hAnsi="TimesET"/>
      <w:b/>
    </w:rPr>
  </w:style>
  <w:style w:type="character" w:styleId="char9" w:customStyle="1">
    <w:name w:val="Основной текст с отступом 2 Знак"/>
    <w:basedOn w:val="char0"/>
    <w:rPr>
      <w:sz w:val="26"/>
      <w:szCs w:val="24"/>
    </w:rPr>
  </w:style>
  <w:style w:type="character" w:styleId="char10" w:customStyle="1">
    <w:name w:val="Текст выноски Знак"/>
    <w:basedOn w:val="char0"/>
  </w:style>
  <w:style w:type="character" w:styleId="char11" w:customStyle="1">
    <w:name w:val="Текст концевой сноски Знак"/>
    <w:basedOn w:val="char0"/>
    <w:rPr>
      <w:rFonts w:cs="Times New Roman"/>
    </w:rPr>
  </w:style>
  <w:style w:type="character" w:styleId="char12">
    <w:name w:val="Endnote Reference"/>
    <w:basedOn w:val="char0"/>
    <w:rPr>
      <w:rFonts w:cs="Times New Roman"/>
      <w:vertAlign w:val="superscript"/>
    </w:rPr>
  </w:style>
  <w:style w:type="character" w:styleId="char13" w:customStyle="1">
    <w:name w:val="Текст сноски Знак"/>
    <w:basedOn w:val="char0"/>
    <w:rPr>
      <w:rFonts w:cs="Times New Roman"/>
    </w:rPr>
  </w:style>
  <w:style w:type="character" w:styleId="char14">
    <w:name w:val="Footnote Reference"/>
    <w:basedOn w:val="char0"/>
    <w:rPr>
      <w:rFonts w:cs="Times New Roman"/>
      <w:vertAlign w:val="superscript"/>
    </w:rPr>
  </w:style>
  <w:style w:type="character" w:styleId="char15" w:customStyle="1">
    <w:name w:val="Нижний колонтитул Знак"/>
    <w:basedOn w:val="char0"/>
    <w:rPr>
      <w:sz w:val="24"/>
    </w:rPr>
  </w:style>
  <w:style w:type="character" w:styleId="char16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ET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`</dc:creator>
  <cp:keywords/>
  <dc:description/>
  <cp:lastModifiedBy/>
  <cp:revision>3</cp:revision>
  <cp:lastPrinted>2017-02-15T08:34:00Z</cp:lastPrinted>
  <dcterms:created xsi:type="dcterms:W3CDTF">2019-02-14T07:07:00Z</dcterms:created>
  <dcterms:modified xsi:type="dcterms:W3CDTF">2019-02-14T07:57:11Z</dcterms:modified>
</cp:coreProperties>
</file>