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секторе по контролю за соблюдением муниципальными 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образованиями законодательства о градостроительной 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деятельности отдела градостроительства и архитектуры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>
      <w:pPr>
        <w:pStyle w:val="para9"/>
        <w:ind w:firstLine="709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Сектор по контролю за соблюдением муниципальными образованиями законодательства о градостроительной деятельности (далее – сектор) учреждается в отделе градостроительства и архитектуры Министерства строительства, архитектуры и жилищно-коммунального хозяйства Чувашской Республики (далее – Минстрой Чувашии) в целях осуществления контроля за соблюдением муниципальными образованиями законодательства о градостроительной деятельности.</w:t>
      </w:r>
    </w:p>
    <w:p>
      <w:pPr>
        <w:pStyle w:val="para9"/>
        <w:ind w:firstLine="709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Настоящим Положением определяются основные функции, права и обязанности сектора.</w:t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 Сектор</w:t>
      </w:r>
      <w:r>
        <w:rPr>
          <w:rFonts w:ascii="Times New Roman" w:hAnsi="Times New Roman"/>
          <w:sz w:val="26"/>
          <w:szCs w:val="26"/>
        </w:rPr>
        <w:t xml:space="preserve">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Положением о Минстрое Чувашии, Положением об отделе градостроительства и архитектуры Минстроя Чувашии, а также настоящим Положением.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Сектор осуществляет свою деятельность во взаимодействии со структурными подразделениями Минстроя Чувашии, исполнительными органами государственной власти Чувашской Республики, органами местного самоуправления, федеральными органами исполнительной власти, их территориальными подразделениями, объединениями и организациями.</w:t>
      </w:r>
    </w:p>
    <w:p>
      <w:pPr>
        <w:pStyle w:val="para9"/>
        <w:ind w:firstLine="708"/>
        <w:spacing w:after="0"/>
        <w:jc w:val="both"/>
        <w:rPr>
          <w:color w:val="000000"/>
        </w:rPr>
      </w:pPr>
      <w:r>
        <w:rPr>
          <w:color w:val="000000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Структура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 Сектор по контролю за соблюдением муниципальными образованиями законодательства о градостроительной деятельности организуется в виде структурного подразделения отдела градостроительства и архитектуры Министерства строительства, архитектуры и жилищно-коммунального хозяйства Чувашской Республики.</w:t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2.2. Сектор возглавляется заведующим, назначаемым на должность и освобождаемым от должности в установленном порядке.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2.3. Структура сектора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начальника отдела градостроительства и архитектуры.</w:t>
      </w:r>
    </w:p>
    <w:p>
      <w:pPr>
        <w:ind w:firstLine="485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>. Основные цели и задачи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 Основными задачами сектора являются:</w:t>
      </w:r>
    </w:p>
    <w:p>
      <w:pPr>
        <w:pStyle w:val="para8"/>
        <w:ind w:firstLine="709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осуществление, в пределах своей компетенции, контроля за соблюдением органами местного самоуправления законодательства о градостроительной деятельности;</w:t>
      </w:r>
    </w:p>
    <w:p>
      <w:pPr>
        <w:pStyle w:val="para8"/>
        <w:ind w:firstLine="709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осуществление, в пределах своей компетенции, контроля за обеспеченностью муниципальных районов, городских округов, городских и сельских поселений документами территориального планирования, документацией по планировке территорий, правилами землепользования и застройки;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органам местного самоуправления методической и консультативной помощи по вопросам градостроительной деятельности.</w:t>
      </w:r>
    </w:p>
    <w:p>
      <w:pPr>
        <w:ind w:firstLine="485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Основные функции</w:t>
      </w:r>
    </w:p>
    <w:p>
      <w:pPr>
        <w:ind w:firstLine="708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 Сектор в соответствии с возложенными на него обязанностями </w:t>
      </w:r>
      <w:r/>
      <w:bookmarkStart w:id="0" w:name="OLE_LINK1"/>
      <w:bookmarkEnd w:id="0"/>
      <w:r/>
      <w:r>
        <w:rPr>
          <w:rFonts w:ascii="Times New Roman" w:hAnsi="Times New Roman"/>
          <w:sz w:val="26"/>
          <w:szCs w:val="26"/>
        </w:rPr>
        <w:t>осуществляет контроль за соблюдением органами местного самоуправления законодательства о градостроительной деятельности, в том числе контроль за:</w:t>
      </w:r>
      <w:r>
        <w:rPr>
          <w:rFonts w:ascii="Times New Roman" w:hAnsi="Times New Roman"/>
          <w:sz w:val="26"/>
          <w:szCs w:val="26"/>
        </w:rPr>
      </w:r>
    </w:p>
    <w:p>
      <w:pPr>
        <w:pStyle w:val="para8"/>
        <w:ind w:firstLine="680"/>
        <w:spacing/>
        <w:jc w:val="both"/>
        <w:widowControl/>
        <w:tabs>
          <w:tab w:val="left" w:pos="624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соответствием нормативных правовых актов органов местного самоуправления федеральному и региональному законодательству о градостроительной деятельности;</w:t>
      </w:r>
    </w:p>
    <w:p>
      <w:pPr>
        <w:pStyle w:val="para8"/>
        <w:ind w:firstLine="708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соблюдением установленных федеральными законами сроков приведения нормативных правовых актов органов местного самоуправления в соответствие с требованиями Градостроительного кодекса Российской Федерации;</w:t>
      </w:r>
    </w:p>
    <w:p>
      <w:pPr>
        <w:pStyle w:val="para8"/>
        <w:ind w:firstLine="708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</w:t>
        <w:tab/>
        <w:t>соблюдением процедур, установленных законодательством о градостроительной деятельности: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подготовки и утверждения документов территориального планирования, правил землепользования и застройки, документации по планировке территории, градостроительных планов земельных участков,</w:t>
      </w:r>
      <w:r>
        <w:rPr>
          <w:rFonts w:ascii="Times New Roman" w:hAnsi="Times New Roman"/>
          <w:color w:val="000000"/>
          <w:sz w:val="26"/>
          <w:szCs w:val="26"/>
        </w:rPr>
        <w:t xml:space="preserve"> местных нормативов градостроительного проектирования и внесению в указанные документы изменений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проведению общественных обсуждений, публичных слушаний по </w:t>
      </w:r>
      <w:r>
        <w:rPr>
          <w:color w:val="000000"/>
          <w:sz w:val="26"/>
          <w:szCs w:val="26"/>
        </w:rPr>
        <w:t>проектам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генеральных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планов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проектам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правил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землепользования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застройки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проектам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планировки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территории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проектам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межевания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территории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проектам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предусматривающим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внесение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изменений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один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утвержденных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проектам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решений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предоставлении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разрешения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условно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разрешенный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вид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использования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земельного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участка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объекта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капитального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строительства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проектам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решений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предоставлении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разрешения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отклонение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предельных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параметров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разрешенного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строительства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реконструкции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объектов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капитального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строительства</w:t>
      </w:r>
      <w:r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выдаче разрешений на строительство, разрешений на ввод объектов в эксплуатацию при осуществлении строительства, реконструкции объектов капитального строительства;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по направлению уведомлений о соответствии указанных в уведомлениях о планируемом строительстве параметров объектов индивидуального жилищного строительства или садовых домов установленным параметрам и допустимости размещения объектов индивидуального жилищного строительства или садовых домов на земельных участках, уведомлений о несоответствии указанных в уведомлениях о планируемом строительстве параметров объектов индивидуального жилищного строительства или садовых домов установленным параметрам и (или) недопустимости размещения объектов индивидуального жилищного строительства или садовых домов на земельных участках;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по направлению уведомлений о соответствии или несоответствии построенных или реконструированных объектов индивидуального жилищного строительства или садовых домов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участках;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выдаче разрешений на условно разрешенный вид использования земельного участка или объекта капитального строительства;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выдаче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по рассмотрению уведомлений о планируемом сносе объекта капитального строительства, уведомления о завершении сноса объекта капитального строительства;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по принятию в соответствии с гражданским законодательством Российской Федерации решений о сносе самовольной постройки, решений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обеспечению размещения документов территориального планирования, правил землепользования и застройки и документации по планировке территорий в федеральной государственной информационной системе территориального планирования.</w:t>
      </w:r>
    </w:p>
    <w:p>
      <w:pPr>
        <w:pStyle w:val="para9"/>
        <w:ind w:firstLine="737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Организовывает и проводит проверки в целях осуществления контроля за соблюдением органами местного самоуправления законодательства о градостроительной деятелности.</w:t>
      </w:r>
    </w:p>
    <w:p>
      <w:pPr>
        <w:pStyle w:val="para9"/>
        <w:ind w:firstLine="737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 Составляет п</w:t>
      </w:r>
      <w:r>
        <w:rPr>
          <w:sz w:val="26"/>
          <w:szCs w:val="26"/>
        </w:rPr>
        <w:t xml:space="preserve">о результатам проверок акты проверки соблюдения органами местного самоуправления законодательства о градостроительной деятельности и предписания об устранении выявленных нарушений. </w:t>
      </w:r>
      <w:r>
        <w:rPr>
          <w:color w:val="000000"/>
          <w:sz w:val="26"/>
          <w:szCs w:val="26"/>
        </w:rPr>
      </w:r>
    </w:p>
    <w:p>
      <w:pPr>
        <w:pStyle w:val="par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При выявлении фактов нарушения органами местного самоуправления законодательства о градостроительной деятельности обеспечивает: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направление в соответствующие</w:t>
      </w:r>
      <w:r>
        <w:rPr>
          <w:color w:val="000000"/>
          <w:sz w:val="26"/>
          <w:szCs w:val="26"/>
        </w:rPr>
        <w:t xml:space="preserve"> органы местного самоуправления обязательны</w:t>
      </w:r>
      <w:r>
        <w:rPr>
          <w:color w:val="000000"/>
          <w:sz w:val="26"/>
          <w:szCs w:val="26"/>
        </w:rPr>
        <w:t>х предписаний</w:t>
      </w:r>
      <w:r>
        <w:rPr>
          <w:color w:val="000000"/>
          <w:sz w:val="26"/>
          <w:szCs w:val="26"/>
        </w:rPr>
        <w:t xml:space="preserve"> об устранении выявленных нарушений законодательства о градостроительной деятельности </w:t>
      </w:r>
      <w:r>
        <w:rPr>
          <w:color w:val="000000"/>
          <w:sz w:val="26"/>
          <w:szCs w:val="26"/>
        </w:rPr>
        <w:t>с установлением</w:t>
      </w:r>
      <w:r>
        <w:rPr>
          <w:color w:val="000000"/>
          <w:sz w:val="26"/>
          <w:szCs w:val="26"/>
        </w:rPr>
        <w:t xml:space="preserve"> срок</w:t>
      </w:r>
      <w:r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устранения таких нарушений;</w:t>
      </w:r>
      <w:r>
        <w:rPr>
          <w:color w:val="000000"/>
          <w:sz w:val="26"/>
          <w:szCs w:val="26"/>
        </w:rPr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направление в органы прокуратуры информации о фактах нарушения законов для принятия мер прокурором;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принятие мер, необходимых для привлечения руководителей и других должностных лиц органов местного самоуправления к ответственности, установленной законодательством Российской Федерации.</w:t>
      </w:r>
    </w:p>
    <w:p>
      <w:pPr>
        <w:pStyle w:val="para9"/>
        <w:ind w:firstLine="737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Осуществляет контроль за исполнением ранее выданных предписаний об устранении выявленных нарушений законодательства о градостроительной деятельности, в том числе составляет акты внеплановых проверок и направляет в органы прокуратуры информацию о фактах неисполнения ранее выданных предписаний об устранении выявленных нарушений для принятия мер прокурором.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4.6. </w:t>
      </w:r>
      <w:r>
        <w:rPr>
          <w:color w:val="000000"/>
          <w:sz w:val="26"/>
          <w:szCs w:val="26"/>
        </w:rPr>
        <w:t>Готовит и н</w:t>
      </w:r>
      <w:r>
        <w:rPr>
          <w:color w:val="000000"/>
          <w:sz w:val="26"/>
          <w:szCs w:val="26"/>
        </w:rPr>
        <w:t>аправляет отчеты в Министерство строительства и жилищно-коммунального хозяйства Российской Федерации</w:t>
      </w:r>
      <w:r>
        <w:rPr>
          <w:color w:val="000000"/>
          <w:sz w:val="26"/>
          <w:szCs w:val="26"/>
        </w:rPr>
        <w:t xml:space="preserve"> и Министерство экономического развития Российской Федерации</w:t>
      </w:r>
      <w:r>
        <w:rPr>
          <w:color w:val="000000"/>
          <w:sz w:val="26"/>
          <w:szCs w:val="26"/>
        </w:rPr>
        <w:t xml:space="preserve"> по вопросам осуществления контроля за соблюдением органами местного самоуправления законодательства о градостроительной деятельности.</w:t>
      </w:r>
      <w:r>
        <w:rPr>
          <w:color w:val="000000"/>
          <w:sz w:val="26"/>
          <w:szCs w:val="26"/>
        </w:rPr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4.7. Обеспечивает своевременное и полное рассмотрение устных и письменных обращений и запросов государственных  органов Российской Федерации и Чувашской Республики, общественных объединений, предприятий, учреждений, организаций, органов местного самоуправления и граждан по вопросам в области градостроительной деятельности, а также принятие по ним решений и направление заявителям ответов в срок, установленный законодательством Российской Федерации.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4.8 Осуществляет в пределах своей компетенции прием граждан, должностных лиц по вопросам в области градостроительной деятельности.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4.9. Осуществляет проверку фактов по жалобам физических и юридических лиц на действие (бездействие) органов местного самоуправления в области градостроительной деятельности.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4.10. Оказывает органам местного самоуправления методическую и консультативную помощь по вопросам соблюдения законодательства о градостроительной деятельности, а также </w:t>
      </w:r>
      <w:r>
        <w:rPr>
          <w:sz w:val="26"/>
          <w:szCs w:val="26"/>
        </w:rPr>
        <w:t>в разработке и реализации градостроительной документации, документов территориального планирования, документации по планировке территорий, правил землепользования застройки.</w:t>
      </w:r>
      <w:r>
        <w:rPr>
          <w:color w:val="000000"/>
          <w:sz w:val="26"/>
          <w:szCs w:val="26"/>
        </w:rPr>
      </w:r>
    </w:p>
    <w:p>
      <w:pPr>
        <w:pStyle w:val="para8"/>
        <w:ind w:firstLine="737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 Осуществляет проверку соблюдения местных нормативов градостроительного проектирования.</w:t>
      </w:r>
    </w:p>
    <w:p>
      <w:pPr>
        <w:pStyle w:val="para9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Размещает </w:t>
      </w:r>
      <w:r>
        <w:rPr>
          <w:sz w:val="26"/>
          <w:szCs w:val="26"/>
        </w:rPr>
        <w:t>необходим</w:t>
      </w:r>
      <w:r>
        <w:rPr>
          <w:sz w:val="26"/>
          <w:szCs w:val="26"/>
        </w:rPr>
        <w:t xml:space="preserve">ую </w:t>
      </w:r>
      <w:r>
        <w:rPr>
          <w:sz w:val="26"/>
          <w:szCs w:val="26"/>
        </w:rPr>
        <w:t>информаци</w:t>
      </w:r>
      <w:r>
        <w:rPr>
          <w:sz w:val="26"/>
          <w:szCs w:val="26"/>
        </w:rPr>
        <w:t xml:space="preserve">ю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ФГИС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Единый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реестр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проверок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единого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проверок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утвержденными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z w:val="26"/>
          <w:szCs w:val="26"/>
        </w:rPr>
        <w:t>.</w:t>
      </w:r>
      <w:r>
        <w:rPr>
          <w:sz w:val="26"/>
          <w:szCs w:val="26"/>
        </w:rPr>
      </w:r>
    </w:p>
    <w:p>
      <w:pPr>
        <w:pStyle w:val="para9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4.13. Формирует ежегодный план проверок, </w:t>
      </w:r>
      <w:r>
        <w:rPr>
          <w:sz w:val="26"/>
          <w:szCs w:val="26"/>
        </w:rPr>
        <w:t>направл</w:t>
      </w:r>
      <w:r>
        <w:rPr>
          <w:sz w:val="26"/>
          <w:szCs w:val="26"/>
        </w:rPr>
        <w:t xml:space="preserve">яет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Прокуратуру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рассм</w:t>
      </w:r>
      <w:r>
        <w:rPr>
          <w:sz w:val="26"/>
          <w:szCs w:val="26"/>
        </w:rPr>
        <w:t xml:space="preserve">отривает </w:t>
      </w:r>
      <w:r>
        <w:rPr>
          <w:sz w:val="26"/>
          <w:szCs w:val="26"/>
        </w:rPr>
        <w:t>предложени</w:t>
      </w:r>
      <w:r>
        <w:rPr>
          <w:sz w:val="26"/>
          <w:szCs w:val="26"/>
        </w:rPr>
        <w:t xml:space="preserve">я </w:t>
      </w:r>
      <w:r>
        <w:rPr>
          <w:sz w:val="26"/>
          <w:szCs w:val="26"/>
        </w:rPr>
        <w:t>Прокуратуры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совместных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проверок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направ</w:t>
      </w:r>
      <w:r>
        <w:rPr>
          <w:sz w:val="26"/>
          <w:szCs w:val="26"/>
        </w:rPr>
        <w:t xml:space="preserve">ляет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Прокуратуру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</w:t>
      </w:r>
      <w:r>
        <w:rPr>
          <w:sz w:val="26"/>
          <w:szCs w:val="26"/>
        </w:rPr>
        <w:t xml:space="preserve">ый </w:t>
      </w:r>
      <w:r>
        <w:rPr>
          <w:sz w:val="26"/>
          <w:szCs w:val="26"/>
        </w:rPr>
        <w:t>министром</w:t>
      </w:r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>лицом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замещающим</w:t>
      </w:r>
      <w:r>
        <w:rPr>
          <w:sz w:val="26"/>
          <w:szCs w:val="26"/>
        </w:rPr>
        <w:t xml:space="preserve">) ежегодный </w:t>
      </w:r>
      <w:r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проверок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t>размещ</w:t>
      </w:r>
      <w:r>
        <w:rPr>
          <w:sz w:val="26"/>
          <w:szCs w:val="26"/>
        </w:rPr>
        <w:t xml:space="preserve">ает его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Интернет</w:t>
      </w:r>
      <w:r>
        <w:rPr>
          <w:sz w:val="26"/>
          <w:szCs w:val="26"/>
        </w:rPr>
        <w:t>-</w:t>
      </w:r>
      <w:r>
        <w:rPr>
          <w:sz w:val="26"/>
          <w:szCs w:val="26"/>
        </w:rPr>
        <w:t>сайте</w:t>
      </w:r>
      <w:r>
        <w:rPr>
          <w:sz w:val="26"/>
          <w:szCs w:val="26"/>
        </w:rPr>
        <w:t>.</w:t>
      </w:r>
      <w:r>
        <w:rPr>
          <w:sz w:val="26"/>
          <w:szCs w:val="26"/>
        </w:rPr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4.14. Осуществляет работу по комплектованию, хранению, учету и использованию архивных документов, образовавшихся в процессе деятельности сектора.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4.15. Предоставляет по запросу уполномоченного федерального органа, осуществляющего контроль </w:t>
      </w:r>
      <w:r>
        <w:rPr>
          <w:rFonts w:ascii="Times New Roman" w:hAnsi="Times New Roman"/>
          <w:sz w:val="26"/>
          <w:szCs w:val="26"/>
        </w:rPr>
        <w:t>за соблюдением законодательства о градостроительной деятельности, необходимые для осуществления контроля документы и материалы;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4.16. Оказывает содействие должностным лицам органа, осуществляющего контроль за соблюдением законодательства органов исполнительной власти о градостроительной деятельности, в их работе.</w:t>
      </w:r>
    </w:p>
    <w:p>
      <w:pPr>
        <w:pStyle w:val="para9"/>
        <w:ind w:firstLine="70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4.17. Принимает участие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нормативных правовых актов, касающихся градостроительной и архитектурной деятельности.</w:t>
      </w:r>
    </w:p>
    <w:p>
      <w:pPr>
        <w:pStyle w:val="para9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4.18. Принимает участие в разработке для органов государственной власти предложений к нормативным правовым актам Чувашской Республики, касающихся вопросов градостроительства и архитектуры.</w:t>
      </w:r>
    </w:p>
    <w:p>
      <w:pPr>
        <w:pStyle w:val="para9"/>
        <w:ind w:firstLine="708"/>
        <w:spacing w:after="0"/>
        <w:jc w:val="both"/>
        <w:rPr>
          <w:rStyle w:val="char3"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>4.19</w:t>
      </w:r>
      <w:r/>
      <w:bookmarkStart w:id="1" w:name="_GoBack"/>
      <w:bookmarkEnd w:id="1"/>
      <w:r/>
      <w:r>
        <w:rPr>
          <w:color w:val="000000"/>
          <w:sz w:val="26"/>
          <w:szCs w:val="26"/>
        </w:rPr>
        <w:t xml:space="preserve">. </w:t>
      </w:r>
      <w:r>
        <w:rPr>
          <w:rStyle w:val="char3"/>
          <w:sz w:val="26"/>
          <w:szCs w:val="26"/>
          <w:lang w:eastAsia="zh-cn"/>
        </w:rPr>
        <w:t>Организует выполнение и осуществление мер пожарной безопасности в отделе.</w:t>
      </w:r>
      <w:r>
        <w:rPr>
          <w:rStyle w:val="char3"/>
          <w:sz w:val="26"/>
          <w:szCs w:val="26"/>
          <w:lang w:eastAsia="zh-cn"/>
        </w:rPr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Основные права</w:t>
      </w:r>
    </w:p>
    <w:p>
      <w:pPr>
        <w:ind w:firstLine="708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 Для выполнения возложенных задач сектор имеет право:</w:t>
      </w:r>
      <w:r>
        <w:rPr>
          <w:rFonts w:ascii="Times New Roman" w:hAnsi="Times New Roman"/>
          <w:sz w:val="26"/>
          <w:szCs w:val="26"/>
        </w:rPr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проводить проверки деятельности органов местного самоуправления по вопросам, входящим в компетенцию сектора;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требовать от руководителей и других должностных лиц органов местного самоуправления предоставления необходимых документов, материалов и сведений, выделения специалистов для выяснения возникших вопросов;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получать от руководителей и других должностных лиц органов местного самоуправления объяснения по факту нарушения законодательства о градостроительной деятельности;</w:t>
      </w:r>
    </w:p>
    <w:p>
      <w:pPr>
        <w:pStyle w:val="para9"/>
        <w:ind w:firstLine="70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запрашивать необходимую информацию от территориальных федеральных органов исполнительной власти, органов исполнительной власти Чувашской Республики, органов местного самоуправления, организаций, граждан по вопросам, отнесенным к ведению сектора.</w:t>
      </w:r>
    </w:p>
    <w:p>
      <w:pPr>
        <w:pStyle w:val="para9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ind w:firstLine="851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 Организация деятельности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Заведующий сектором </w:t>
      </w:r>
      <w:r>
        <w:rPr>
          <w:rFonts w:ascii="Times New Roman" w:hAnsi="Times New Roman"/>
          <w:color w:val="000000"/>
          <w:sz w:val="26"/>
          <w:szCs w:val="26"/>
        </w:rPr>
        <w:t>по контролю за соблюдением муниципальными образованиями законодательства о градостроительной деятельности</w:t>
      </w:r>
      <w:r>
        <w:rPr>
          <w:rFonts w:ascii="Times New Roman" w:hAnsi="Times New Roman"/>
          <w:sz w:val="26"/>
          <w:szCs w:val="26"/>
        </w:rPr>
        <w:t>: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 деятельностью сектора;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несет ответственность за выполнение возложенных на сектор задач и осуществление им своих функций;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распределяет обязанности между сотрудниками сектора;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вносит предложения по статусу, структуре и численности сектора и Положению </w:t>
      </w:r>
      <w:r>
        <w:rPr>
          <w:rFonts w:ascii="Times New Roman" w:hAnsi="Times New Roman"/>
          <w:color w:val="000000"/>
          <w:sz w:val="26"/>
          <w:szCs w:val="26"/>
        </w:rPr>
        <w:t>о секторе по контролю за соблюдением муниципальными образованиями законодательства о градостроительной деятельности</w:t>
      </w:r>
      <w:r>
        <w:rPr>
          <w:rFonts w:ascii="Times New Roman" w:hAnsi="Times New Roman"/>
          <w:sz w:val="26"/>
          <w:szCs w:val="26"/>
        </w:rPr>
        <w:t>;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ведет прием граждан.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Заведующий сектором назначается и освобождается от должности приказом министра по представлению курирующего заместителя министра, работники сектора - приказом министра по представлению заведующего сектором.</w:t>
      </w:r>
    </w:p>
    <w:p>
      <w:pPr>
        <w:pStyle w:val="para3"/>
        <w:ind w:firstLine="709"/>
        <w:rPr>
          <w:rStyle w:val="char1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>
        <w:rPr>
          <w:rStyle w:val="char1"/>
          <w:rFonts w:ascii="Times New Roman" w:hAnsi="Times New Roman"/>
          <w:sz w:val="26"/>
          <w:szCs w:val="26"/>
        </w:rPr>
        <w:t>В период отсутствия заведующего сектором его обязанности распределяются вышестоящим руководителем между работниками отдела и сектора.</w:t>
      </w:r>
      <w:r>
        <w:rPr>
          <w:rStyle w:val="char1"/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6.4. Работники сектора несут персональную ответственность за выполнение возложенных  на них обязанностей в соответствии с должностными регламентами.</w:t>
      </w:r>
      <w:r>
        <w:rPr>
          <w:rFonts w:ascii="Times New Roman" w:hAnsi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1701" w:top="1134" w:right="851" w:bottom="1134" w:header="839"/>
      <w:paperSrc w:first="0" w:other="0"/>
      <w:pgNumType w:fmt="decimal"/>
      <w:titlePg/>
      <w:tmGutter w:val="3"/>
      <w:mirrorMargins w:val="0"/>
      <w:tmSection w:h="-2">
        <w:tmHeader w:id="0" w:h="0" edge="83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2</w:t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67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61121479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Times New Roman" w:hAnsi="Times New Roman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8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9">
    <w:name w:val="Normal (Web)"/>
    <w:qFormat/>
    <w:basedOn w:val="para0"/>
    <w:pPr>
      <w:spacing w:after="225"/>
    </w:pPr>
    <w:rPr>
      <w:rFonts w:ascii="Times New Roman" w:hAnsi="Times New Roman"/>
    </w:rPr>
  </w:style>
  <w:style w:type="paragraph" w:styleId="para10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  <w:lang w:eastAsia="zh-cn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Верхний колонтитул Знак"/>
    <w:rPr>
      <w:rFonts w:ascii="TimesET" w:hAnsi="TimesET"/>
      <w:sz w:val="24"/>
      <w:szCs w:val="24"/>
    </w:rPr>
  </w:style>
  <w:style w:type="character" w:styleId="char3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Times New Roman" w:hAnsi="Times New Roman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8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9">
    <w:name w:val="Normal (Web)"/>
    <w:qFormat/>
    <w:basedOn w:val="para0"/>
    <w:pPr>
      <w:spacing w:after="225"/>
    </w:pPr>
    <w:rPr>
      <w:rFonts w:ascii="Times New Roman" w:hAnsi="Times New Roman"/>
    </w:rPr>
  </w:style>
  <w:style w:type="paragraph" w:styleId="para10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  <w:lang w:eastAsia="zh-cn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Верхний колонтитул Знак"/>
    <w:rPr>
      <w:rFonts w:ascii="TimesET" w:hAnsi="TimesET"/>
      <w:sz w:val="24"/>
      <w:szCs w:val="24"/>
    </w:rPr>
  </w:style>
  <w:style w:type="character" w:styleId="char3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архитектуры и жилищно-коммунального </dc:title>
  <dc:subject/>
  <dc:creator>construc28</dc:creator>
  <cp:keywords/>
  <dc:description/>
  <cp:lastModifiedBy>Маринкина</cp:lastModifiedBy>
  <cp:revision>47</cp:revision>
  <cp:lastPrinted>2019-02-19T05:45:00Z</cp:lastPrinted>
  <dcterms:created xsi:type="dcterms:W3CDTF">2012-07-02T10:14:00Z</dcterms:created>
  <dcterms:modified xsi:type="dcterms:W3CDTF">2021-01-21T07:39:54Z</dcterms:modified>
</cp:coreProperties>
</file>