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5E" w:rsidRPr="0029273D" w:rsidRDefault="001A575E" w:rsidP="001A575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494E" w:rsidRPr="00E80F93" w:rsidRDefault="0037494E" w:rsidP="0037494E">
      <w:pPr>
        <w:ind w:right="4514"/>
        <w:jc w:val="both"/>
        <w:rPr>
          <w:color w:val="000000"/>
          <w:lang w:eastAsia="ru-RU"/>
        </w:rPr>
      </w:pPr>
      <w:bookmarkStart w:id="0" w:name="_GoBack"/>
      <w:bookmarkEnd w:id="0"/>
    </w:p>
    <w:p w:rsidR="0037494E" w:rsidRDefault="0037494E"/>
    <w:tbl>
      <w:tblPr>
        <w:tblpPr w:leftFromText="180" w:rightFromText="180" w:vertAnchor="text" w:horzAnchor="margin" w:tblpY="-7"/>
        <w:tblW w:w="4950" w:type="pct"/>
        <w:tblLook w:val="04A0" w:firstRow="1" w:lastRow="0" w:firstColumn="1" w:lastColumn="0" w:noHBand="0" w:noVBand="1"/>
      </w:tblPr>
      <w:tblGrid>
        <w:gridCol w:w="3887"/>
        <w:gridCol w:w="1446"/>
        <w:gridCol w:w="4142"/>
      </w:tblGrid>
      <w:tr w:rsidR="0029273D" w:rsidRPr="0029273D" w:rsidTr="0037494E">
        <w:trPr>
          <w:cantSplit/>
          <w:trHeight w:val="1975"/>
        </w:trPr>
        <w:tc>
          <w:tcPr>
            <w:tcW w:w="2051" w:type="pct"/>
          </w:tcPr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ЧĂВАШ РЕСПУБЛИКИН</w:t>
            </w: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КАНАШ РАЙОНĚН</w:t>
            </w: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АДМИНИСТРАЦИЙĚ</w:t>
            </w:r>
          </w:p>
          <w:p w:rsidR="001A575E" w:rsidRPr="0029273D" w:rsidRDefault="001A575E" w:rsidP="001A57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575E" w:rsidRPr="0029273D" w:rsidRDefault="001A575E" w:rsidP="001A575E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ЙЫШĂНУ</w:t>
            </w:r>
          </w:p>
          <w:p w:rsidR="001A575E" w:rsidRPr="0029273D" w:rsidRDefault="001A575E" w:rsidP="001A57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575E" w:rsidRPr="0029273D" w:rsidRDefault="0081077F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</w:t>
            </w:r>
            <w:r w:rsidR="001A575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1A575E"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50</w:t>
            </w:r>
            <w:r w:rsidR="001A575E"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№</w:t>
            </w: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Канаш хули</w:t>
            </w:r>
          </w:p>
        </w:tc>
        <w:tc>
          <w:tcPr>
            <w:tcW w:w="763" w:type="pct"/>
            <w:hideMark/>
          </w:tcPr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0E244F7D" wp14:editId="220A30B9">
                  <wp:extent cx="7715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pct"/>
          </w:tcPr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</w:t>
            </w: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КАНАШСКОГО РАЙОНА</w:t>
            </w: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1A575E" w:rsidRPr="0029273D" w:rsidRDefault="001A575E" w:rsidP="001A57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ПОСТАНОВЛЕНИЕ</w:t>
            </w:r>
          </w:p>
          <w:p w:rsidR="001A575E" w:rsidRPr="0029273D" w:rsidRDefault="001A575E" w:rsidP="001A57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A575E" w:rsidRPr="0029273D" w:rsidRDefault="0081077F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</w:t>
            </w:r>
            <w:r w:rsidR="001A575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1A575E"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50</w:t>
            </w:r>
          </w:p>
          <w:p w:rsidR="001A575E" w:rsidRPr="0029273D" w:rsidRDefault="001A575E" w:rsidP="001A5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город Канаш</w:t>
            </w:r>
          </w:p>
        </w:tc>
      </w:tr>
    </w:tbl>
    <w:p w:rsidR="001A575E" w:rsidRPr="0029273D" w:rsidRDefault="001A575E" w:rsidP="001A57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575E" w:rsidRPr="0029273D" w:rsidRDefault="001A575E" w:rsidP="008722B7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</w:t>
      </w:r>
      <w:r w:rsidR="008722B7"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 </w:t>
      </w:r>
      <w:r w:rsidR="008722B7"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 администрации Канашского района от 14 декабря 2</w:t>
      </w:r>
      <w:r w:rsidR="008722B7" w:rsidRPr="0029273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018 года  №  831</w:t>
      </w:r>
    </w:p>
    <w:p w:rsidR="008722B7" w:rsidRPr="0029273D" w:rsidRDefault="008722B7" w:rsidP="008722B7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575E" w:rsidRPr="0029273D" w:rsidRDefault="001A575E" w:rsidP="00C221E5">
      <w:pPr>
        <w:ind w:right="-1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со статьей 179 Бюджетного кодекса Российской Федерации, </w:t>
      </w:r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Собрания депутатов Канашского района Чувашской Республики</w:t>
      </w:r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от 4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декабря </w:t>
      </w:r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2020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 </w:t>
      </w:r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№ 5/1</w:t>
      </w:r>
      <w:r w:rsidR="00C221E5" w:rsidRPr="0029273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ar-SA"/>
        </w:rPr>
        <w:t xml:space="preserve"> «</w:t>
      </w:r>
      <w:r w:rsidR="00C221E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 Канашского района Чувашской Республики на 2021 год и на плановый период 2022 и 2023 годов»</w:t>
      </w:r>
      <w:r w:rsidRPr="00292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221E5" w:rsidRPr="002927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Канашского района Чувашской Республики  п о с т а н о в л я е т:</w:t>
      </w:r>
    </w:p>
    <w:p w:rsidR="001A575E" w:rsidRPr="0029273D" w:rsidRDefault="001A575E" w:rsidP="008722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A575E" w:rsidRPr="0029273D" w:rsidRDefault="001736E5" w:rsidP="001736E5">
      <w:pPr>
        <w:keepNext/>
        <w:tabs>
          <w:tab w:val="num" w:pos="0"/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A575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Внести в 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Канашского района от 14 декабря 2</w:t>
      </w:r>
      <w:r w:rsidR="008722B7" w:rsidRPr="002927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018 года № 831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2B7" w:rsidRPr="002927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8722B7"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утверждении муниципальной программы «Обеспечение общественного порядка и противодействие преступности в Канашском районе Чувашской Республики» на 2019-2035 годы»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изменениями от 21</w:t>
      </w:r>
      <w:r w:rsidR="00F12DB8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F12DB8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8722B7" w:rsidRPr="0029273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№  222)</w:t>
      </w:r>
      <w:r w:rsidR="008722B7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75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следующ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A575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е изменени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A575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374D" w:rsidRPr="0029273D" w:rsidRDefault="00D707C1" w:rsidP="001736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65374D" w:rsidRPr="002927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="0065374D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изложить в редакции </w:t>
      </w:r>
      <w:r w:rsidR="001736E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7" w:history="1">
        <w:r w:rsidR="0065374D" w:rsidRPr="002927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</w:t>
        </w:r>
        <w:r w:rsidR="001736E5" w:rsidRPr="0029273D">
          <w:rPr>
            <w:rFonts w:ascii="Times New Roman" w:hAnsi="Times New Roman" w:cs="Times New Roman"/>
            <w:color w:val="000000" w:themeColor="text1"/>
            <w:sz w:val="24"/>
            <w:szCs w:val="24"/>
          </w:rPr>
          <w:t>ю</w:t>
        </w:r>
      </w:hyperlink>
      <w:r w:rsidR="0065374D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</w:t>
      </w:r>
      <w:r w:rsidR="001736E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374D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575E" w:rsidRPr="0029273D" w:rsidRDefault="001A575E" w:rsidP="001736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после его официального опубликования</w:t>
      </w:r>
      <w:r w:rsidR="002B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распространяется на правоотношения, возник</w:t>
      </w:r>
      <w:r w:rsidR="00FD2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шие </w:t>
      </w:r>
      <w:r w:rsidR="002B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 января 2021 года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575E" w:rsidRPr="0029273D" w:rsidRDefault="001A575E" w:rsidP="00173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75E" w:rsidRPr="0029273D" w:rsidRDefault="001A575E" w:rsidP="001A5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75E" w:rsidRPr="0029273D" w:rsidRDefault="001A575E" w:rsidP="001A575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575E" w:rsidRPr="0029273D" w:rsidRDefault="001A575E" w:rsidP="001A575E">
      <w:pPr>
        <w:tabs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Глава администрации района                                                                             В.Н. Степанов</w:t>
      </w:r>
    </w:p>
    <w:p w:rsidR="001A575E" w:rsidRPr="0029273D" w:rsidRDefault="001A575E" w:rsidP="001A575E">
      <w:pPr>
        <w:spacing w:after="0" w:line="240" w:lineRule="auto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sectPr w:rsidR="001A575E" w:rsidRPr="0029273D">
          <w:pgSz w:w="11906" w:h="16838"/>
          <w:pgMar w:top="993" w:right="850" w:bottom="1134" w:left="1701" w:header="708" w:footer="708" w:gutter="0"/>
          <w:cols w:space="720"/>
        </w:sectPr>
      </w:pPr>
    </w:p>
    <w:p w:rsidR="00382730" w:rsidRPr="0029273D" w:rsidRDefault="0038273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Канашского района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81077F">
        <w:rPr>
          <w:rFonts w:ascii="Times New Roman" w:hAnsi="Times New Roman" w:cs="Times New Roman"/>
          <w:color w:val="000000" w:themeColor="text1"/>
          <w:sz w:val="24"/>
          <w:szCs w:val="24"/>
        </w:rPr>
        <w:t>27.01.2021</w:t>
      </w:r>
      <w:r w:rsidR="001736E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810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</w:t>
      </w:r>
    </w:p>
    <w:p w:rsidR="0065374D" w:rsidRPr="0029273D" w:rsidRDefault="0065374D" w:rsidP="0065374D">
      <w:pPr>
        <w:pStyle w:val="ConsPlusNormal"/>
        <w:jc w:val="right"/>
        <w:outlineLvl w:val="0"/>
        <w:rPr>
          <w:color w:val="000000" w:themeColor="text1"/>
        </w:rPr>
      </w:pPr>
    </w:p>
    <w:p w:rsidR="0065374D" w:rsidRPr="0029273D" w:rsidRDefault="0065374D" w:rsidP="0065374D">
      <w:pPr>
        <w:spacing w:after="1"/>
        <w:rPr>
          <w:color w:val="000000" w:themeColor="text1"/>
        </w:rPr>
      </w:pPr>
    </w:p>
    <w:p w:rsidR="00382730" w:rsidRPr="0029273D" w:rsidRDefault="00382730">
      <w:pPr>
        <w:spacing w:after="1"/>
        <w:rPr>
          <w:color w:val="000000" w:themeColor="text1"/>
        </w:rPr>
      </w:pPr>
    </w:p>
    <w:p w:rsidR="00382730" w:rsidRPr="0029273D" w:rsidRDefault="00382730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17E" w:rsidRPr="0029273D" w:rsidRDefault="002A70C6" w:rsidP="002A70C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«Обеспечение общественного порядка и противодействие преступности в Канашском районе Чувашской Республики» </w:t>
      </w:r>
    </w:p>
    <w:p w:rsidR="002A70C6" w:rsidRPr="0029273D" w:rsidRDefault="002A70C6" w:rsidP="002A70C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2019-2035 годы» </w:t>
      </w:r>
    </w:p>
    <w:p w:rsidR="002A70C6" w:rsidRPr="0029273D" w:rsidRDefault="002A70C6" w:rsidP="002A70C6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29273D" w:rsidRPr="0029273D" w:rsidTr="0073217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70C6" w:rsidRPr="0029273D" w:rsidRDefault="002A70C6" w:rsidP="002A70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исполнитель: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66C2" w:rsidRPr="0029273D" w:rsidRDefault="00F12DB8" w:rsidP="00A466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организационно-контрольной и кадровой работы </w:t>
            </w:r>
            <w:r w:rsidR="00A466C2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Канашского района Чувашской Республики</w:t>
            </w:r>
          </w:p>
          <w:p w:rsidR="002A70C6" w:rsidRPr="0029273D" w:rsidRDefault="002A70C6" w:rsidP="007321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 w:rsidTr="0073217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70C6" w:rsidRPr="0029273D" w:rsidRDefault="002A70C6" w:rsidP="0073217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70C6" w:rsidRPr="0029273D" w:rsidRDefault="00023BDF" w:rsidP="00023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декабря 2018 </w:t>
            </w:r>
            <w:r w:rsidR="002A70C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29273D" w:rsidRPr="0029273D" w:rsidTr="0073217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70C6" w:rsidRPr="0029273D" w:rsidRDefault="002A70C6" w:rsidP="002A70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A70C6" w:rsidRPr="0029273D" w:rsidRDefault="002A70C6" w:rsidP="002A70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сектором юридической службы отдела организационно-контрольной и кадровой работы администрации Канашского района</w:t>
            </w:r>
            <w:r w:rsidR="00A466C2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  <w:p w:rsidR="002A70C6" w:rsidRPr="0029273D" w:rsidRDefault="002A70C6" w:rsidP="002A70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Марина Георгиевна</w:t>
            </w:r>
          </w:p>
          <w:p w:rsidR="002A70C6" w:rsidRPr="0029273D" w:rsidRDefault="002A70C6" w:rsidP="002A70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</w:t>
            </w:r>
            <w:r w:rsidR="00A466C2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(88353)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2-27-91,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kan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urist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cap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2A70C6" w:rsidRPr="0029273D" w:rsidRDefault="002A70C6" w:rsidP="002A70C6">
      <w:pPr>
        <w:pStyle w:val="ConsPlusNormal"/>
        <w:rPr>
          <w:color w:val="000000" w:themeColor="text1"/>
        </w:rPr>
      </w:pPr>
      <w:r w:rsidRPr="0029273D">
        <w:rPr>
          <w:color w:val="000000" w:themeColor="text1"/>
        </w:rPr>
        <w:br/>
      </w: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1736E5" w:rsidRPr="0029273D" w:rsidRDefault="001736E5">
      <w:pPr>
        <w:pStyle w:val="ConsPlusNormal"/>
        <w:jc w:val="both"/>
        <w:rPr>
          <w:color w:val="000000" w:themeColor="text1"/>
        </w:rPr>
      </w:pPr>
    </w:p>
    <w:p w:rsidR="00382730" w:rsidRPr="0029273D" w:rsidRDefault="00A466C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7"/>
      <w:bookmarkEnd w:id="1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аспорт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 w:rsidR="004B4A61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противодействие преступности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4B4A61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1C2E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организационно-контрольной и кадровой работы 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Канашского района Чувашской Республики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Канашского района, сектор культуры и по делам архивов администрации Канашского района, сектор по физической культуре и спорту администрации Канашского района, сектор юридической службы отдела организационно-контрольной и кадровой работы администрации Канашского района, отдел по развитию общественной инфраструктуры администрации Канашского района, сектор информатизации администрации Канашского района, сектор экономики администрации Канашского района, сектор опеки и попечительства администрации Канашского района, комиссия по делам несовершеннолетних и защите их прав при администрации Канашского района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1C2E6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ОМВД России по Канашскому району (по согласованию), </w:t>
            </w:r>
            <w:r w:rsidR="001C2E6D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C2E6D"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тдел</w:t>
            </w:r>
            <w:r w:rsidR="00BF6DFC" w:rsidRPr="002927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согласованию), БУ </w:t>
            </w:r>
            <w:r w:rsidR="00BF6DFC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Канашская центральная районная больница им. Ф.Г.Григорьева</w:t>
            </w:r>
            <w:r w:rsidR="00BF6DFC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Министерства здравоохранения Чувашской Республики (по согласованию), </w:t>
            </w:r>
            <w:r w:rsidR="00BF6DFC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согласованию), Канашский межмуниципальный ФКУ УИИ УФСИН России по Чувашской Республике - Чувашии (по согласованию), Отделение лицензионно-разрешительной работы (по городу Канашу, Батыревскому, Канашскому, Комсомольскому, Урмарскому, Шемуршинскому, Яльчикскому и Янтиковскому районам) отдела Росгвардии по Чувашской Республике (по согласованию), сельские поселения Канашского района (по согласованию)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4B4A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правонарушений в Канашском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82730" w:rsidRPr="0029273D" w:rsidRDefault="004B4A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Профилактика незаконного потребления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потенциально опасных психоактивных веществ в Канашском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82730" w:rsidRPr="0029273D" w:rsidRDefault="00CE1A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детской беспризорности, безнадзорности и правонарушений несовершеннолетних в Канашском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82730" w:rsidRPr="0029273D" w:rsidRDefault="00CE1A74" w:rsidP="00CE1A7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реализации муниципальной программы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общественного порядка и противодействие преступности в Канашском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2019 - 2035 годы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взаимодействия правоохранительных, органов местного самоуправления Канашского района Чувашской Республики, граждан, их объединений, участвующих в охране общественного порядка (далее - общественные объединения) в сфере профилактики правонарушений,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 в Канашском районе Чувашской Республики;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распространения наркомании и связанных с ней негативных социальных последствий;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жизнедеятельности населения;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правонарушений, повышение ответственности за состояние правопорядка органов местного самоуправления Канашского района Чувашской Республики и всех звеньев правоохранительной системы;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единой системы профилактики немедицинского потребления наркотических средств, психотропных веществ и новых потенциально опасных психоактивных веществ различными категориями населения;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уровня подростковой преступности на территории Канашского района Чувашской Республики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41311" w:rsidRDefault="000413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2036 году будут достигнуты следующие показатели: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доля ранее судимых лиц от общего числа лиц, привлеченных к уголовной ответственности до </w:t>
            </w:r>
            <w:r w:rsidR="00A1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 процентов;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преступлений, совершенных на улицах и в других общественных местах на 10 тыс. населения до </w:t>
            </w:r>
            <w:r w:rsidR="00A1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20,7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 до 36,1 процентов;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несовершеннолетних, совершивших преступления, в расчете на 1 тыс. несовершеннолетних в возрасте от 14 до 18 лет до 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расследованных преступлений превентивной направленности в общем массиве расследованных преступлений до 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- 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процентов;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 числа лиц, больных наркоманией, на уровне 1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на 10 тыс. населения;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 доли выявленных тяжких и особо тяжких преступлений, связанных с незаконным оборотом наркотических средств до 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процентов;</w:t>
            </w:r>
          </w:p>
          <w:p w:rsidR="00382730" w:rsidRPr="0029273D" w:rsidRDefault="00382730" w:rsidP="00023B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несовершеннолетних, совершивших преступления, в расчете на 1 тыс. несовершеннолетних в возрасте от 14 до 18 лет 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2019 - 2035 годы: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- 2019 - 2025 годы;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- 2026 - 2030 годы;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- 2031 - 2035 годы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средств бюджета Канашского района на финансирование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Прогнозируемый объем финансирования мероприятий в 2019 - 2035 годах составляет 1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5518,9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- 1114,6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340,2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1210,9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1083,0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1083,0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- 725,5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- 761,7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- 4000,0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- 4200,0 тыс. рублей, за счет бюджета Канашского района Чувашской Республики на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615,5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- 483,0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696,0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547,0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400,4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6C2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400,4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2024 году - 381,9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- 400,9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- 2330,2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- 2975,7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бюджетов сельских поселений Канашского района Чувашской Республики на - 10,0 тыс. рублей.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уточняются ежегодно при формировании бюджета Канашского района Чувашской Республики на очередной финансовый год</w:t>
            </w:r>
          </w:p>
        </w:tc>
      </w:tr>
      <w:tr w:rsidR="00382730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муниципальной программы позволит: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 количество преступлений, совершенных лицами, ранее их совершавшими;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 количество преступлений, совершенных лицами в состоянии алкогольного опьянения;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 количество преступлений на улицах и в других общественных местах;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увеличить количество лиц асоциального поведения, охваченных системой профилактических мер;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 масштабы незаконного потребления наркотических средств и психотропных веществ;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 охват несовершеннолетних асоциального поведения профилактическими мерами;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 число несовершеннолетних, совершивших преступления</w:t>
            </w:r>
          </w:p>
        </w:tc>
      </w:tr>
    </w:tbl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C2E" w:rsidRPr="0029273D" w:rsidRDefault="007C6C2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C2E" w:rsidRPr="0029273D" w:rsidRDefault="007C6C2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7C6C2E" w:rsidRPr="0029273D" w:rsidRDefault="007C6C2E">
      <w:pPr>
        <w:pStyle w:val="ConsPlusTitle"/>
        <w:jc w:val="center"/>
        <w:outlineLvl w:val="1"/>
        <w:rPr>
          <w:color w:val="000000" w:themeColor="text1"/>
        </w:rPr>
      </w:pPr>
    </w:p>
    <w:p w:rsidR="00382730" w:rsidRPr="0029273D" w:rsidRDefault="0038273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 I. ОБЩАЯ ХАРАКТЕРИСТИКА СФЕРЫ РЕАЛИЗАЦИИ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ПРОГРАММЫ, ОСНОВНЫЕ ПРОБЛЕМЫ В УКАЗАННОЙ СФЕРЕ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 ЕЕ РАЗВИТИЯ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7C6C2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 и противодействие преступности в Канашском районе Чувашской Республики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 (далее - Программа) направлена на профилактику правонарушений в Канашском районе Чувашской Республики, а также на укрепление законности и правопорядка, направлена на противодействие злоупотреблению наркотических средств, психотропных веществ и новых потенциально опасных психоактивных веществ,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наркотиками их незаконному обороту, а также профилактику наркомании и формирование здорового образа жизни.</w:t>
      </w:r>
    </w:p>
    <w:p w:rsidR="00382730" w:rsidRPr="0029273D" w:rsidRDefault="00382730" w:rsidP="007C6C2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государственной политики осуществляется:</w:t>
      </w:r>
    </w:p>
    <w:p w:rsidR="00382730" w:rsidRPr="0029273D" w:rsidRDefault="00382730" w:rsidP="007C6C2E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профилактики правонарушений и противодействия преступности в Чувашской Республике - в рамках реализации Федерального закона от 6 октября 1999 г. N 184-ФЗ 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 Президента Российской Федерации от 2 июля 2005 г. N 773 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Стратегии национальной безопасности Российской Федерации, утвержденной Указом Президента Российской Федерации от 31 декабря 2015 г. N 683,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Закона Чувашской Республики от 22 февраля 2017 г. N 5 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профилактике правонарушений в Чувашской Республике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, перечня поручений Президента Российской Федерации по вопросам обеспечения общественной безопасности в сфере предупреждения и пресечения преступлений, связанных с использованием оружия, боеприпасов, взрывчатых веществ и взрывных устройств;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профилактики незаконного потребления наркотических средств, психотропных веществ и новых потенциально опасных психоактивных веществ - в рамках реализации Федерального закона от 8 января 1998 г. N 3-ФЗ 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наркотических средствах и психотропных веществах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 Президента Российской Федерации от 9 июня 2010 г. N 690 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Стратегии государственной антинаркотической политики Российской Федерации до 2020 года</w:t>
      </w:r>
      <w:r w:rsidR="007C6C2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постановления Правительства Российской Федерации от 31 марта 2017 г. N 385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государственную программу Российской Федерации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 и противодействие преступности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признании утратившими силу некоторых актов Правительства Российской Федерации и их отдельных положений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Закона Чувашской Республики от 7 октября 2008 г. N 53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профилактике незаконного потребления наркотических средств, психотропных веществ и новых потенциально опасных психоактивных веществ,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целей и задач Программы, а именно профилактики правонарушений и противодействия преступности в Канашском районе Чувашской Республики, профилактики незаконного потребления наркотических средств, психотропных веществ и новых потенциально опасных психоактивных веществ в Канашском районе Чувашской Республики необходимо применение программно-целевых инструментов, поскольку требуется высокая степень координации действий органов местного самоуправления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Канашского района Чувашской Республики, организаций и граждан.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реализации Программы прогнозируется повышение уровня безопасности жизнедеятельности населения и территорий Канашского района Чувашской Республики.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 профилактике наркомании и формирование здорового образа жизни, продиктована следующими обстоятельствами: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приоритетное значение профилактики наркомании в формировании здорового образа жизни и стабилизации демографической ситуации в Канашском районе Чувашской Республики;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формирования установок здорового образа жизни как социального свойства личности, гарантирующего в условиях рыночной экономики конкурентоспособность, благополучие семьи, профессиональное долголетие, обеспеченную старость.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Анализ ситуации, сложившейся с распространением наркотиков на территории Канашского района Чувашской Республики, показывает, что работа по профилактике и пресечению потребления наркотических средств, психотропных веществ и новых потенциально опасных психоактивных веществ, благодаря объединением усилий субъектов профилактики, накопившим большой опыт работы в новых социально-экономических условиях, позволяют контролировать наркоситуацию. В антинаркотическую работу активно включаются общественные организации и учреждения Канашского района Чувашской Республики.</w:t>
      </w:r>
    </w:p>
    <w:p w:rsidR="00382730" w:rsidRPr="0029273D" w:rsidRDefault="00382730" w:rsidP="00C6279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этих мероприятий позволит достичь положительного эффекта за счет реализации целевого научно обоснованного и системного воздействия государства на объекты управления с целью повышения безопасности населения.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ПРИОРИТЕТЫ В СФЕРЕ РЕАЛИЗАЦИИ ПРОГРАММЫ,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ЦЕЛИ, ЗАДАЧИ И ПОКАЗАТЕЛИ (ИНДИКАТОРЫ) ДОСТИЖЕНИЯ ЦЕЛЕЙ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РЕШЕНИЯ ЗАДАЧ, ОСНОВНЫЕ ОЖИДАЕМЫЕ КОНЕЧНЫЕ РЕЗУЛЬТАТЫ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СРОК РЕАЛИЗАЦИИ ПРОГРАММЫ</w:t>
      </w:r>
    </w:p>
    <w:p w:rsidR="00382730" w:rsidRPr="0029273D" w:rsidRDefault="00C62799" w:rsidP="00C62799">
      <w:pPr>
        <w:pStyle w:val="ConsPlusNormal"/>
        <w:tabs>
          <w:tab w:val="left" w:pos="37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Приоритеты государственной политики в сфере профилактики правонарушений определены в Стратегии национальной безопасности Российской Федерации, утвержденной Указом Президента Российской Федерации от 31 декабря 2015 г. N 683, Стратегии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в ежегодных посланиях Главы Чувашской Республики Государственному Совету Чувашской Республики.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необходимо решение следующих задач: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Канашского района Чувашской Республики, правоохранительных, контролирующих органов,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совершенствование организационного, нормативно-правового и ресурсного обеспечения антинаркотической деятельности.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будет реализовываться в 2019 - 2035 годах в три этапа: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 этап - 2019 - 2025 годы;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 этап - 2026 - 2030 годы;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3 этап - 2031 - 2035 годы.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позволит к 2036 году: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снизить масштабы незаконного потребления наркотических средств, психотропных веществ и новых потенциально опасных психоактивных веществ,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снизить количество преступлений на улице и в других общественных местах;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в рассматриваемой сфере.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ее целей и решения задач и отражен в приложении N 1 к настоящей муниципальной программе.</w:t>
      </w:r>
    </w:p>
    <w:p w:rsidR="00382730" w:rsidRPr="0029273D" w:rsidRDefault="00382730" w:rsidP="00C627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ОБОБЩЕННАЯ ХАРАКТЕРИСТИКА ОСНОВНЫХ МЕРОПРИЯТИЙ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 МУНИЦИПАЛЬНОЙ ПРОГРАММЫ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Выстроенная в рамках настоящей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Программы.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Задачи муниципальной программы решается в рамках четырех подпрограмм.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 в Канашском районе Чувашской Республики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объединяет пять основных мероприятий: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комплекса мероприятий по организации деятельности Советов профилактики;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общественными объединениями правоохранительной направленности;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совместных профилактических мероприятий по выявлению иностранных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общественных формирований правоохранительной направленности к охране общественного порядка и общественной безопасности;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районного конкурса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Лучший народный дружинник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занятости лиц, освободившихся из мест лишения свободы, осужденных к исправительным работам;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информирование осужденных по вопросам оказания медицинских и социальных услуг;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помощи в медико-социальной экспертизе для установления инвалидности осужденному;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условиях сожительствования (в 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гражданском браке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профилактических мероприятий по выявлению и пресечению правонарушений в сфере оборота алкогольной и наркотической продукции, незаконного изготовления и реализации спиртных напитков домашней выработки, продажи алкогольной продукции;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 в СМИ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 и наркоманией;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4. Помощь лицам, пострадавшим от правонарушений или подверженным риску стать таковыми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5. Информационно-методическое обеспечение профилактики правонарушений и повышение уровня правовой культуры населения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 средствах массовой информации материалов о позитивных результатах деятельности правоохранительных органов, лучших сотрудниках;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создания и размещения в средствах массовой информации социальной рекламы, направленной на профилактику правонарушений;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информационных выставок, социальных акций, направленных на профилактику правонарушений;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семинаров, круглых столов и совещаний с участием представителей правоохранительных органов, представителей органов местного самоуправления, СМИ, общественных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мероприятий, направленных на правовое воспитание лиц, осужденных к уголовным наказаниям, не связанным с лишением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незаконного потребления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в Канашском районе Чувашской Республики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мероприятий в общественных местах с концентрацией несовершеннолетних с целью предупреждения потребления подростками и молодежью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совместных мероприятий по выявлению и пресечению деятельности лиц, задействованных в налаживании каналов поставок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на территорию Канашского района Чувашской Республики, в том числе с использованием ресурсов информационно-телекоммуникационной сети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комплексных социологических исследований для оценки масштабов немедицинского потребления наркотических средств и социально-экономических потерь от распространения наркомании;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внедрение современных оздоровительных технологий и физкультурно-профилактических моделей по предупреждению потребления наркотиков в системе воспитания и организации досуга молодежи;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системы психолого-педагогического сопровождения процесса социализации детей, подростков и молодежи при проведении физкультурно-оздоровительных мероприятий;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включение в программу учебного процесса образовательных учреждений Канашского района занятий по формированию у молодежи негативного отношения к употреблению наркотических средств и других одурманивающих веществ;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показов спектаклей с целью формирования здорового образа жизни, профилактики наркомании и СПИДа;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публикаций в печатных средствах массовой информации о вреде употребления наркотических и одурманивающих веществ;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и проведение конкурса плакатов среди учащихся учреждений дополнительного образования детей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Дети за здоровый образ жизни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пособиями и методическими рекомендациями педагогических и медицинских работников, родителей по профилактике и раннему выявлению потребителей психоактивных веществ (далее - ПАВ), в том числе нехимических видов зависимости, среди несовершеннолетних и молодежи;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размещения социальной рекламы в СМИ службами, оказывающими консультативную помощь, направленную на профилактику и раннее выявление потребителей ПАВ;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спортивно-массовых мероприятий, направленных на пропаганду и формирование здорового образа жизни, среди подростков и молодежи;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ежегодных смотров-конкурсов на лучшую организацию физкультурно-оздоровительной и спортивно-массовой работы по месту жительства детей, подростков и молодежи;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ежегодное проведение районной акции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олодежь за здоровый образ жизни»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(март - апрель, октябрь - ноябрь);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образовательных учреждений, медицинских организаций и учреждений культуры учебно-методической литературой, направленной на профилактику незаконного употребления наркотиков, включая периодические антинаркотические печатные издания;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организация семинаров, совещаний, тренингов для педагогов, направленных на совершенствование превентивных технологий в рамках единого профилактического пространства, обусловливающих снижение спроса на ПАВ в детско-молодежной популяции;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в образовательных учреждениях единого Дня здоровья;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физкультурно-оздоровительной работы с обучающимися, проведение спартакиад, соревнований по отдельным видам спорта, конкурсов с широким привлечением родительской общественности;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внутришкольных санитарных постов;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добровольного тестирования учащихся образовательных учреждений Канашского района при проведении ежегодной диспансеризации;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 учете в органах внутренних дел.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в общественных местах;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профилактических мероприятий в образовательных организациях, направленных на предупреждение негативных процессов, происходящих в молодежной среде в связи с потреблением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декадника, посвященного Международному дню борьбы с наркоманией.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3. Совершенствование системы реабилитации и ресоциализации потребителей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(за исключением медицинской)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дифференцированной медицинской профилактики злоупотребления наркотиками среди несовершеннолетних на основе взаимодействия со специалистами первичного звена здравоохранения.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органов местного самоуправления Канашского района Чувашской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Республики в указанных мероприятиях планируется путем принятия ими соответствующих муниципальных правовых актов в сфере незаконного оборота наркотических, психотропных веществ и новых потенциально опасных психоактивных веществ,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веществ, выделения соответствующего финансирования из средств местного бюджета Канашского района Чувашской Республики.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4. Совершенствование организационно-правового и ресурсного обеспечения антинаркотической деятельности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методического обеспечения деятельности органов местного самоуправления Канашского района Чувашской Республики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мониторинга наркоситуации в Канашском районе Чувашской Республики;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</w:t>
      </w:r>
      <w:r w:rsidR="001C2E6D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1C2E6D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, в реализации мероприятий по пресечению распространения наркотических средств и психотропных веществ;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правоохранительных органов, органов местного самоуправления в Канашском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антинаркотических акций с привлечением сотрудников всех заинтересованных органов.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Предупреждение детской беспризорности, безнадзорности и правонарушений несовершеннолетних в Канашском районе Чувашской Республики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объединяет два основных мероприятия: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 образовательных организациях работы по формированию законопослушного поведения обучающихся;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института общественных воспитателей несовершеннолетних;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содержания и обучения несовершеннолетних, совершивших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общественно опасные деяния, в специальных учебно-воспитательных учреждениях;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 детьми, проходящими реабилитацию в учреждениях социального обслуживания семьи и детей, мероприятий по правовой тематике;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подготовку и издание информационных материалов по содействию занятости несовершеннолетних граждан в свободное от учебы время;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 весь период летних каникул полного охвата организованными формами отдыха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несовершеннолетних к занятиям в клубах по интересам в учреждениях социального обслуживания семьи и детей;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работы;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в организации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добровольцев и общественных воспитателей к социальному сопровождению несовершеннолетних;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мероприятий по выявлению фактов семейного неблагополучия на ранней стадии;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работы с семьями, находящимися в социально опасном положении, и оказание им помощи в обучении и воспитании детей;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проведение семинаров-совещаний, круглых столов, конкурсов для лиц, ответственных за профилактическую работу;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единой базы данных о выявленных несовершеннолетних и семьях, находящихся в социально опасном положении.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Подпрограмма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реализации муниципальной программы Чувашской Республики 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 и противодействие преступности в Канашском районе Чувашской Республики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</w:t>
      </w:r>
      <w:r w:rsidR="00C6279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382730" w:rsidRPr="0029273D" w:rsidRDefault="00382730" w:rsidP="00C627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C62799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ОБОСНОВАНИЕ ОБЪЕМА ФИНАНСОВЫХ РЕСУРСОВ,</w:t>
      </w:r>
    </w:p>
    <w:p w:rsidR="00382730" w:rsidRPr="0029273D" w:rsidRDefault="00382730" w:rsidP="00C6279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РЕАЛИЗАЦИИ ПРОГРАММЫ</w:t>
      </w:r>
    </w:p>
    <w:p w:rsidR="00382730" w:rsidRPr="0029273D" w:rsidRDefault="00382730" w:rsidP="00C627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Расходы Программы формируются за счет средств бюджета Канашского района Чувашской Республики и средств внебюджетных источников.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бюджетных ассигнований на реализацию Программы (подпрограмм) утверждается решением Собрания депутатов Канашского района Чувашской Республики о бюджете Канашского района Чувашской Республики на очередной финансовый год.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муниципальной программы в 2019 - 2035 годах составит 1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5518,9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республиканского бюджета Чувашской Республики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6903,4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бюджета Канашского района Чувашской Республики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615,5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муниципальной программы на 1 этапе (2019 - 2025 годы) составит 7296,9 тыс. рублей, в том числе: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- 1114,6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340,2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1210,9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1083,0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1083,0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- 725,5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- 761,7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местного бюджета Канашского района Чувашской Республики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615,5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- 483,0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696,0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547,0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400,4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AB5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400,4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- 381,9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- 400,9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за счет бюджетов сельских поселений Канашского района Чувашской Республики - в 2019 году - 10,0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- 0,00 тыс. рублей.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(2026 - 2030 годы) объем финансирования муниципальной программы составит - 6857,50 тыс. рублей, из них средства: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местных бюджетов - 2330,2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- 0,00 тыс. рублей.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 3 этапе (2031 - 2035 годы) объем финансирования муниципальной программы составит 8200,0 тыс. рублей, из них средства: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местных бюджетов - 2975,7 тыс. рублей;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- 0,00 тыс. рублей.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Объемы финансирования Программы подлежат ежегодному уточнению исходя из реальных возможностей бюджетов всех уровней.</w:t>
      </w:r>
    </w:p>
    <w:p w:rsidR="00382730" w:rsidRPr="0029273D" w:rsidRDefault="00382730" w:rsidP="00C627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Программы приведены в приложении N 2 к настоящей Программе.</w:t>
      </w:r>
    </w:p>
    <w:p w:rsidR="00382730" w:rsidRPr="0029273D" w:rsidRDefault="00382730" w:rsidP="00C627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C6279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C62799" w:rsidRPr="0029273D" w:rsidRDefault="00C62799">
      <w:pPr>
        <w:pStyle w:val="ConsPlusNormal"/>
        <w:jc w:val="right"/>
        <w:outlineLvl w:val="1"/>
        <w:rPr>
          <w:color w:val="000000" w:themeColor="text1"/>
        </w:rPr>
      </w:pPr>
    </w:p>
    <w:p w:rsidR="001C2E6D" w:rsidRPr="0029273D" w:rsidRDefault="001C2E6D">
      <w:pPr>
        <w:pStyle w:val="ConsPlusNormal"/>
        <w:jc w:val="right"/>
        <w:outlineLvl w:val="1"/>
        <w:rPr>
          <w:color w:val="000000" w:themeColor="text1"/>
        </w:rPr>
        <w:sectPr w:rsidR="001C2E6D" w:rsidRPr="0029273D" w:rsidSect="00C22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2730" w:rsidRPr="0029273D" w:rsidRDefault="00382730">
      <w:pPr>
        <w:pStyle w:val="ConsPlusNormal"/>
        <w:jc w:val="right"/>
        <w:outlineLvl w:val="1"/>
        <w:rPr>
          <w:color w:val="000000" w:themeColor="text1"/>
        </w:rPr>
      </w:pPr>
      <w:r w:rsidRPr="0029273D">
        <w:rPr>
          <w:color w:val="000000" w:themeColor="text1"/>
        </w:rPr>
        <w:lastRenderedPageBreak/>
        <w:t>Приложение N 1</w:t>
      </w:r>
    </w:p>
    <w:p w:rsidR="00382730" w:rsidRPr="0029273D" w:rsidRDefault="00382730">
      <w:pPr>
        <w:pStyle w:val="ConsPlusNormal"/>
        <w:jc w:val="right"/>
        <w:rPr>
          <w:color w:val="000000" w:themeColor="text1"/>
        </w:rPr>
      </w:pPr>
      <w:r w:rsidRPr="0029273D">
        <w:rPr>
          <w:color w:val="000000" w:themeColor="text1"/>
        </w:rPr>
        <w:t>к муниципальной программе</w:t>
      </w:r>
    </w:p>
    <w:p w:rsidR="00382730" w:rsidRPr="0029273D" w:rsidRDefault="001C2E6D">
      <w:pPr>
        <w:pStyle w:val="ConsPlusNormal"/>
        <w:jc w:val="right"/>
        <w:rPr>
          <w:color w:val="000000" w:themeColor="text1"/>
        </w:rPr>
      </w:pPr>
      <w:r w:rsidRPr="0029273D">
        <w:rPr>
          <w:color w:val="000000" w:themeColor="text1"/>
        </w:rPr>
        <w:t>«</w:t>
      </w:r>
      <w:r w:rsidR="00382730" w:rsidRPr="0029273D">
        <w:rPr>
          <w:color w:val="000000" w:themeColor="text1"/>
        </w:rPr>
        <w:t>Обеспечение общественного порядка</w:t>
      </w:r>
    </w:p>
    <w:p w:rsidR="00382730" w:rsidRPr="0029273D" w:rsidRDefault="00382730">
      <w:pPr>
        <w:pStyle w:val="ConsPlusNormal"/>
        <w:jc w:val="right"/>
        <w:rPr>
          <w:color w:val="000000" w:themeColor="text1"/>
        </w:rPr>
      </w:pPr>
      <w:r w:rsidRPr="0029273D">
        <w:rPr>
          <w:color w:val="000000" w:themeColor="text1"/>
        </w:rPr>
        <w:t>и противодействие преступности</w:t>
      </w:r>
    </w:p>
    <w:p w:rsidR="00382730" w:rsidRPr="0029273D" w:rsidRDefault="00382730">
      <w:pPr>
        <w:pStyle w:val="ConsPlusNormal"/>
        <w:jc w:val="right"/>
        <w:rPr>
          <w:color w:val="000000" w:themeColor="text1"/>
        </w:rPr>
      </w:pPr>
      <w:r w:rsidRPr="0029273D">
        <w:rPr>
          <w:color w:val="000000" w:themeColor="text1"/>
        </w:rPr>
        <w:t>в Канашском районе</w:t>
      </w:r>
    </w:p>
    <w:p w:rsidR="00382730" w:rsidRPr="0029273D" w:rsidRDefault="00382730">
      <w:pPr>
        <w:pStyle w:val="ConsPlusNormal"/>
        <w:jc w:val="right"/>
        <w:rPr>
          <w:color w:val="000000" w:themeColor="text1"/>
        </w:rPr>
      </w:pPr>
      <w:r w:rsidRPr="0029273D">
        <w:rPr>
          <w:color w:val="000000" w:themeColor="text1"/>
        </w:rPr>
        <w:t>Чувашской Республики</w:t>
      </w:r>
      <w:r w:rsidR="001C2E6D" w:rsidRPr="0029273D">
        <w:rPr>
          <w:color w:val="000000" w:themeColor="text1"/>
        </w:rPr>
        <w:t>»</w:t>
      </w:r>
    </w:p>
    <w:p w:rsidR="00382730" w:rsidRPr="0029273D" w:rsidRDefault="00382730">
      <w:pPr>
        <w:pStyle w:val="ConsPlusNormal"/>
        <w:jc w:val="right"/>
        <w:rPr>
          <w:color w:val="000000" w:themeColor="text1"/>
        </w:rPr>
      </w:pPr>
      <w:r w:rsidRPr="0029273D">
        <w:rPr>
          <w:color w:val="000000" w:themeColor="text1"/>
        </w:rPr>
        <w:t>на 2019 - 2035 годы</w:t>
      </w:r>
    </w:p>
    <w:p w:rsidR="00382730" w:rsidRPr="0029273D" w:rsidRDefault="00382730">
      <w:pPr>
        <w:pStyle w:val="ConsPlusNormal"/>
        <w:jc w:val="both"/>
        <w:rPr>
          <w:color w:val="000000" w:themeColor="text1"/>
        </w:rPr>
      </w:pPr>
    </w:p>
    <w:p w:rsidR="00382730" w:rsidRPr="0029273D" w:rsidRDefault="00382730">
      <w:pPr>
        <w:pStyle w:val="ConsPlusTitle"/>
        <w:jc w:val="center"/>
        <w:rPr>
          <w:color w:val="000000" w:themeColor="text1"/>
        </w:rPr>
      </w:pPr>
      <w:bookmarkStart w:id="2" w:name="P344"/>
      <w:bookmarkEnd w:id="2"/>
      <w:r w:rsidRPr="0029273D">
        <w:rPr>
          <w:color w:val="000000" w:themeColor="text1"/>
        </w:rPr>
        <w:t>СВЕДЕНИЯ</w:t>
      </w:r>
    </w:p>
    <w:p w:rsidR="00382730" w:rsidRPr="0029273D" w:rsidRDefault="00382730">
      <w:pPr>
        <w:pStyle w:val="ConsPlusTitle"/>
        <w:jc w:val="center"/>
        <w:rPr>
          <w:color w:val="000000" w:themeColor="text1"/>
        </w:rPr>
      </w:pPr>
      <w:r w:rsidRPr="0029273D">
        <w:rPr>
          <w:color w:val="000000" w:themeColor="text1"/>
        </w:rPr>
        <w:t xml:space="preserve">О ЦЕЛЕВЫХ ИНДИКАТОРАХ </w:t>
      </w:r>
      <w:r w:rsidR="008E69A4" w:rsidRPr="0029273D">
        <w:rPr>
          <w:color w:val="000000" w:themeColor="text1"/>
        </w:rPr>
        <w:t xml:space="preserve"> И </w:t>
      </w:r>
      <w:r w:rsidRPr="0029273D">
        <w:rPr>
          <w:color w:val="000000" w:themeColor="text1"/>
        </w:rPr>
        <w:t>ПОКАЗАТЕЛЯХ</w:t>
      </w:r>
    </w:p>
    <w:p w:rsidR="00382730" w:rsidRPr="0029273D" w:rsidRDefault="00382730">
      <w:pPr>
        <w:pStyle w:val="ConsPlusTitle"/>
        <w:jc w:val="center"/>
        <w:rPr>
          <w:color w:val="000000" w:themeColor="text1"/>
        </w:rPr>
      </w:pPr>
      <w:r w:rsidRPr="0029273D">
        <w:rPr>
          <w:color w:val="000000" w:themeColor="text1"/>
        </w:rPr>
        <w:t xml:space="preserve">МУНИЦИПАЛЬНОЙ ПРОГРАММЫ </w:t>
      </w:r>
      <w:r w:rsidR="008E69A4" w:rsidRPr="0029273D">
        <w:rPr>
          <w:color w:val="000000" w:themeColor="text1"/>
        </w:rPr>
        <w:t>«</w:t>
      </w:r>
      <w:r w:rsidRPr="0029273D">
        <w:rPr>
          <w:color w:val="000000" w:themeColor="text1"/>
        </w:rPr>
        <w:t>ОБЕСПЕЧЕНИЕ ОБЩЕСТВЕННОГО ПОРЯДКА</w:t>
      </w:r>
    </w:p>
    <w:p w:rsidR="00382730" w:rsidRPr="0029273D" w:rsidRDefault="00382730">
      <w:pPr>
        <w:pStyle w:val="ConsPlusTitle"/>
        <w:jc w:val="center"/>
        <w:rPr>
          <w:color w:val="000000" w:themeColor="text1"/>
        </w:rPr>
      </w:pPr>
      <w:r w:rsidRPr="0029273D">
        <w:rPr>
          <w:color w:val="000000" w:themeColor="text1"/>
        </w:rPr>
        <w:t>И ПРОТИВОДЕЙСТВИЕ ПРЕСТУПНОСТИ В КАНАШСКОМ РАЙОНЕ</w:t>
      </w:r>
    </w:p>
    <w:p w:rsidR="00382730" w:rsidRPr="0029273D" w:rsidRDefault="008E69A4">
      <w:pPr>
        <w:pStyle w:val="ConsPlusTitle"/>
        <w:jc w:val="center"/>
        <w:rPr>
          <w:color w:val="000000" w:themeColor="text1"/>
        </w:rPr>
      </w:pPr>
      <w:r w:rsidRPr="0029273D">
        <w:rPr>
          <w:color w:val="000000" w:themeColor="text1"/>
        </w:rPr>
        <w:t>ЧУВАШСКОЙ РЕСПУБЛИКИ»</w:t>
      </w:r>
      <w:r w:rsidR="00382730" w:rsidRPr="0029273D">
        <w:rPr>
          <w:color w:val="000000" w:themeColor="text1"/>
        </w:rPr>
        <w:t xml:space="preserve"> НА 2019 - 2035 ГОДЫ,</w:t>
      </w:r>
    </w:p>
    <w:p w:rsidR="00382730" w:rsidRPr="0029273D" w:rsidRDefault="00382730">
      <w:pPr>
        <w:pStyle w:val="ConsPlusTitle"/>
        <w:jc w:val="center"/>
        <w:rPr>
          <w:color w:val="000000" w:themeColor="text1"/>
        </w:rPr>
      </w:pPr>
      <w:r w:rsidRPr="0029273D">
        <w:rPr>
          <w:color w:val="000000" w:themeColor="text1"/>
        </w:rPr>
        <w:t>ПОДПРОГРАММ МУНИЦИПАЛЬНОЙ ПРОГРАММЫ И ИХ ЗНАЧЕНИЯХ</w:t>
      </w:r>
    </w:p>
    <w:p w:rsidR="00382730" w:rsidRPr="0029273D" w:rsidRDefault="00382730">
      <w:pPr>
        <w:spacing w:after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17"/>
        <w:gridCol w:w="1247"/>
        <w:gridCol w:w="850"/>
        <w:gridCol w:w="850"/>
        <w:gridCol w:w="907"/>
        <w:gridCol w:w="964"/>
        <w:gridCol w:w="907"/>
        <w:gridCol w:w="896"/>
        <w:gridCol w:w="907"/>
        <w:gridCol w:w="896"/>
        <w:gridCol w:w="896"/>
        <w:gridCol w:w="794"/>
      </w:tblGrid>
      <w:tr w:rsidR="0029273D" w:rsidRPr="0029273D">
        <w:tc>
          <w:tcPr>
            <w:tcW w:w="567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N</w:t>
            </w:r>
          </w:p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пп</w:t>
            </w:r>
          </w:p>
        </w:tc>
        <w:tc>
          <w:tcPr>
            <w:tcW w:w="2917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Целевой индикатор и показатель (наименование)</w:t>
            </w:r>
          </w:p>
        </w:tc>
        <w:tc>
          <w:tcPr>
            <w:tcW w:w="1247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8867" w:type="dxa"/>
            <w:gridSpan w:val="10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Значения целевых индикаторов и показателей по годам</w:t>
            </w:r>
          </w:p>
        </w:tc>
      </w:tr>
      <w:tr w:rsidR="0029273D" w:rsidRPr="0029273D">
        <w:tc>
          <w:tcPr>
            <w:tcW w:w="567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color w:val="000000" w:themeColor="text1"/>
              </w:rPr>
            </w:pPr>
          </w:p>
        </w:tc>
        <w:tc>
          <w:tcPr>
            <w:tcW w:w="2917" w:type="dxa"/>
            <w:vMerge/>
          </w:tcPr>
          <w:p w:rsidR="00382730" w:rsidRPr="0029273D" w:rsidRDefault="00382730">
            <w:pPr>
              <w:rPr>
                <w:color w:val="000000" w:themeColor="text1"/>
              </w:rPr>
            </w:pPr>
          </w:p>
        </w:tc>
        <w:tc>
          <w:tcPr>
            <w:tcW w:w="1247" w:type="dxa"/>
            <w:vMerge/>
          </w:tcPr>
          <w:p w:rsidR="00382730" w:rsidRPr="0029273D" w:rsidRDefault="0038273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2018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2019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2020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2021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2022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2023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2024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2025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2030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2035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7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8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11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13</w:t>
            </w:r>
          </w:p>
        </w:tc>
      </w:tr>
      <w:tr w:rsidR="0029273D" w:rsidRPr="0029273D">
        <w:tc>
          <w:tcPr>
            <w:tcW w:w="13598" w:type="dxa"/>
            <w:gridSpan w:val="13"/>
            <w:tcBorders>
              <w:left w:val="nil"/>
              <w:right w:val="nil"/>
            </w:tcBorders>
          </w:tcPr>
          <w:p w:rsidR="00382730" w:rsidRPr="0029273D" w:rsidRDefault="00382730" w:rsidP="008E69A4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 xml:space="preserve">Муниципальная программа </w:t>
            </w:r>
            <w:r w:rsidR="008E69A4" w:rsidRPr="0029273D">
              <w:rPr>
                <w:color w:val="000000" w:themeColor="text1"/>
              </w:rPr>
              <w:t>«</w:t>
            </w:r>
            <w:r w:rsidRPr="0029273D">
              <w:rPr>
                <w:color w:val="000000" w:themeColor="text1"/>
              </w:rPr>
              <w:t>Обеспечение общественного порядка и противодействие преступности в Канашском районе Чувашской Республики</w:t>
            </w:r>
            <w:r w:rsidR="008E69A4" w:rsidRPr="0029273D">
              <w:rPr>
                <w:color w:val="000000" w:themeColor="text1"/>
              </w:rPr>
              <w:t>»</w:t>
            </w:r>
            <w:r w:rsidRPr="0029273D">
              <w:rPr>
                <w:color w:val="000000" w:themeColor="text1"/>
              </w:rPr>
              <w:t xml:space="preserve"> на 2019 - 2035 годы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10,8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11,4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11,4</w:t>
            </w:r>
          </w:p>
        </w:tc>
        <w:tc>
          <w:tcPr>
            <w:tcW w:w="964" w:type="dxa"/>
          </w:tcPr>
          <w:p w:rsidR="00382730" w:rsidRPr="0029273D" w:rsidRDefault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21,3</w:t>
            </w:r>
          </w:p>
        </w:tc>
        <w:tc>
          <w:tcPr>
            <w:tcW w:w="907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82730" w:rsidRPr="0029273D">
              <w:rPr>
                <w:color w:val="000000" w:themeColor="text1"/>
              </w:rPr>
              <w:t>1,2</w:t>
            </w:r>
          </w:p>
        </w:tc>
        <w:tc>
          <w:tcPr>
            <w:tcW w:w="896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82730" w:rsidRPr="0029273D">
              <w:rPr>
                <w:color w:val="000000" w:themeColor="text1"/>
              </w:rPr>
              <w:t>1,1</w:t>
            </w:r>
          </w:p>
        </w:tc>
        <w:tc>
          <w:tcPr>
            <w:tcW w:w="907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82730" w:rsidRPr="0029273D">
              <w:rPr>
                <w:color w:val="000000" w:themeColor="text1"/>
              </w:rPr>
              <w:t>1,0</w:t>
            </w:r>
          </w:p>
        </w:tc>
        <w:tc>
          <w:tcPr>
            <w:tcW w:w="896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82730" w:rsidRPr="0029273D">
              <w:rPr>
                <w:color w:val="000000" w:themeColor="text1"/>
              </w:rPr>
              <w:t>0,9</w:t>
            </w:r>
          </w:p>
        </w:tc>
        <w:tc>
          <w:tcPr>
            <w:tcW w:w="896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82730" w:rsidRPr="0029273D">
              <w:rPr>
                <w:color w:val="000000" w:themeColor="text1"/>
              </w:rPr>
              <w:t>0,8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82730" w:rsidRPr="0029273D">
              <w:rPr>
                <w:color w:val="000000" w:themeColor="text1"/>
              </w:rPr>
              <w:t>0,7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преступлений на 10 тыс. населения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0,03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0,16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2,0</w:t>
            </w:r>
          </w:p>
        </w:tc>
        <w:tc>
          <w:tcPr>
            <w:tcW w:w="964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,9</w:t>
            </w:r>
          </w:p>
        </w:tc>
        <w:tc>
          <w:tcPr>
            <w:tcW w:w="907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,8</w:t>
            </w:r>
          </w:p>
        </w:tc>
        <w:tc>
          <w:tcPr>
            <w:tcW w:w="896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,7</w:t>
            </w:r>
          </w:p>
        </w:tc>
        <w:tc>
          <w:tcPr>
            <w:tcW w:w="907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,6</w:t>
            </w:r>
          </w:p>
        </w:tc>
        <w:tc>
          <w:tcPr>
            <w:tcW w:w="896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,5</w:t>
            </w:r>
          </w:p>
        </w:tc>
        <w:tc>
          <w:tcPr>
            <w:tcW w:w="896" w:type="dxa"/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,4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BD0DAE" w:rsidP="00BD0DAE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382730" w:rsidRPr="0029273D">
              <w:rPr>
                <w:color w:val="000000" w:themeColor="text1"/>
              </w:rPr>
              <w:t>,3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человек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2,2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7,2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7,1</w:t>
            </w:r>
          </w:p>
        </w:tc>
        <w:tc>
          <w:tcPr>
            <w:tcW w:w="964" w:type="dxa"/>
          </w:tcPr>
          <w:p w:rsidR="00382730" w:rsidRPr="0029273D" w:rsidRDefault="00382730" w:rsidP="00BD0DAE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7,0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6,9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6,7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6,6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6,5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6,4</w:t>
            </w:r>
          </w:p>
        </w:tc>
      </w:tr>
      <w:tr w:rsidR="0029273D" w:rsidRPr="0029273D">
        <w:tc>
          <w:tcPr>
            <w:tcW w:w="13598" w:type="dxa"/>
            <w:gridSpan w:val="13"/>
            <w:tcBorders>
              <w:left w:val="nil"/>
              <w:right w:val="nil"/>
            </w:tcBorders>
          </w:tcPr>
          <w:p w:rsidR="00382730" w:rsidRPr="0029273D" w:rsidRDefault="00382730" w:rsidP="008E69A4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lastRenderedPageBreak/>
              <w:t xml:space="preserve">Подпрограмма </w:t>
            </w:r>
            <w:r w:rsidR="008E69A4" w:rsidRPr="0029273D">
              <w:rPr>
                <w:color w:val="000000" w:themeColor="text1"/>
              </w:rPr>
              <w:t>«</w:t>
            </w:r>
            <w:r w:rsidRPr="0029273D">
              <w:rPr>
                <w:color w:val="000000" w:themeColor="text1"/>
              </w:rPr>
              <w:t>Профилактика правонарушений в Канашском районе</w:t>
            </w:r>
            <w:r w:rsidR="008E69A4" w:rsidRPr="0029273D">
              <w:rPr>
                <w:color w:val="000000" w:themeColor="text1"/>
              </w:rPr>
              <w:t>»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63,0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63,2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50,0</w:t>
            </w:r>
          </w:p>
        </w:tc>
        <w:tc>
          <w:tcPr>
            <w:tcW w:w="964" w:type="dxa"/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64,9</w:t>
            </w:r>
          </w:p>
        </w:tc>
        <w:tc>
          <w:tcPr>
            <w:tcW w:w="907" w:type="dxa"/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382730" w:rsidRPr="0029273D">
              <w:rPr>
                <w:color w:val="000000" w:themeColor="text1"/>
              </w:rPr>
              <w:t>,8</w:t>
            </w:r>
          </w:p>
        </w:tc>
        <w:tc>
          <w:tcPr>
            <w:tcW w:w="896" w:type="dxa"/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382730" w:rsidRPr="0029273D">
              <w:rPr>
                <w:color w:val="000000" w:themeColor="text1"/>
              </w:rPr>
              <w:t>,7</w:t>
            </w:r>
          </w:p>
        </w:tc>
        <w:tc>
          <w:tcPr>
            <w:tcW w:w="907" w:type="dxa"/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382730" w:rsidRPr="0029273D">
              <w:rPr>
                <w:color w:val="000000" w:themeColor="text1"/>
              </w:rPr>
              <w:t>,6</w:t>
            </w:r>
          </w:p>
        </w:tc>
        <w:tc>
          <w:tcPr>
            <w:tcW w:w="896" w:type="dxa"/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382730" w:rsidRPr="0029273D">
              <w:rPr>
                <w:color w:val="000000" w:themeColor="text1"/>
              </w:rPr>
              <w:t>,5</w:t>
            </w:r>
          </w:p>
        </w:tc>
        <w:tc>
          <w:tcPr>
            <w:tcW w:w="896" w:type="dxa"/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382730" w:rsidRPr="0029273D">
              <w:rPr>
                <w:color w:val="000000" w:themeColor="text1"/>
              </w:rPr>
              <w:t>,4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155E3C" w:rsidP="00155E3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  <w:r w:rsidR="00382730" w:rsidRPr="0029273D">
              <w:rPr>
                <w:color w:val="000000" w:themeColor="text1"/>
              </w:rPr>
              <w:t>,3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51,1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38,3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38,1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37,8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37,6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37,5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37,2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37,1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36,6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36,1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33,3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31,1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30,2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30,3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30,4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30,6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30,7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30,8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30,9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55,0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55,5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56,0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56,5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58,0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58,5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61,0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63,5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</w:t>
            </w:r>
            <w:r w:rsidRPr="0029273D">
              <w:rPr>
                <w:color w:val="000000" w:themeColor="text1"/>
              </w:rPr>
              <w:lastRenderedPageBreak/>
              <w:t>с лишением свободы, обратившихся в органы службы занятости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50,0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50,5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51,0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51,5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52,0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52,5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53,0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53,5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56,0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58,5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99,97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99,99</w:t>
            </w:r>
          </w:p>
        </w:tc>
      </w:tr>
      <w:tr w:rsidR="0029273D" w:rsidRPr="0029273D">
        <w:tc>
          <w:tcPr>
            <w:tcW w:w="13598" w:type="dxa"/>
            <w:gridSpan w:val="13"/>
            <w:tcBorders>
              <w:left w:val="nil"/>
              <w:right w:val="nil"/>
            </w:tcBorders>
          </w:tcPr>
          <w:p w:rsidR="00382730" w:rsidRPr="0029273D" w:rsidRDefault="00382730" w:rsidP="008E69A4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 xml:space="preserve">Подпрограмма </w:t>
            </w:r>
            <w:r w:rsidR="008E69A4" w:rsidRPr="0029273D">
              <w:rPr>
                <w:color w:val="000000" w:themeColor="text1"/>
              </w:rPr>
              <w:t>«</w:t>
            </w:r>
            <w:r w:rsidRPr="0029273D">
              <w:rPr>
                <w:color w:val="000000" w:themeColor="text1"/>
              </w:rPr>
              <w:t>Профилактика незаконного потребления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в Канашском районе Чувашской Республики</w:t>
            </w:r>
            <w:r w:rsidR="008E69A4" w:rsidRPr="0029273D">
              <w:rPr>
                <w:color w:val="000000" w:themeColor="text1"/>
              </w:rPr>
              <w:t>»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6,3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5,9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5,5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5,4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5,3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5,2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5,1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4,9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4,8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57,7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57,9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57,7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57,6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57,5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57,4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57,3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57,2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5,1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5,0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5,0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4,9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4,8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4,7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4,7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4,6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4,3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4,0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26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30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32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34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36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42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44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5.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36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37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38,1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38,2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38,3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38,4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38,5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39,0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40,0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6.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12,2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12,5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12,6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12,7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12,8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12,9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13,0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13,5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14,0</w:t>
            </w:r>
          </w:p>
        </w:tc>
      </w:tr>
      <w:tr w:rsidR="0029273D" w:rsidRPr="0029273D">
        <w:tc>
          <w:tcPr>
            <w:tcW w:w="13598" w:type="dxa"/>
            <w:gridSpan w:val="13"/>
            <w:tcBorders>
              <w:left w:val="nil"/>
              <w:right w:val="nil"/>
            </w:tcBorders>
          </w:tcPr>
          <w:p w:rsidR="00382730" w:rsidRPr="0029273D" w:rsidRDefault="00382730" w:rsidP="008E69A4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 xml:space="preserve">Подпрограмма </w:t>
            </w:r>
            <w:r w:rsidR="008E69A4" w:rsidRPr="0029273D">
              <w:rPr>
                <w:color w:val="000000" w:themeColor="text1"/>
              </w:rPr>
              <w:t>«</w:t>
            </w:r>
            <w:r w:rsidRPr="0029273D">
              <w:rPr>
                <w:color w:val="000000" w:themeColor="text1"/>
              </w:rPr>
              <w:t>Предупреждение детской беспризорности, безнадзорности и правонарушений несовершеннолетних в Канашском районе Чувашской Республики</w:t>
            </w:r>
            <w:r w:rsidR="008E69A4" w:rsidRPr="0029273D">
              <w:rPr>
                <w:color w:val="000000" w:themeColor="text1"/>
              </w:rPr>
              <w:t xml:space="preserve">»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1.</w:t>
            </w:r>
          </w:p>
        </w:tc>
        <w:tc>
          <w:tcPr>
            <w:tcW w:w="2917" w:type="dxa"/>
          </w:tcPr>
          <w:p w:rsidR="00382730" w:rsidRPr="0029273D" w:rsidRDefault="00382730">
            <w:pPr>
              <w:pStyle w:val="ConsPlusNormal"/>
              <w:jc w:val="both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24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процентов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2,3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3,5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3,4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3,3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3,2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3,1</w:t>
            </w:r>
          </w:p>
        </w:tc>
        <w:tc>
          <w:tcPr>
            <w:tcW w:w="907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3,0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2,9</w:t>
            </w:r>
          </w:p>
        </w:tc>
        <w:tc>
          <w:tcPr>
            <w:tcW w:w="896" w:type="dxa"/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2,8</w:t>
            </w:r>
          </w:p>
        </w:tc>
        <w:tc>
          <w:tcPr>
            <w:tcW w:w="79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color w:val="000000" w:themeColor="text1"/>
              </w:rPr>
            </w:pPr>
            <w:r w:rsidRPr="0029273D">
              <w:rPr>
                <w:color w:val="000000" w:themeColor="text1"/>
              </w:rPr>
              <w:t>2,6</w:t>
            </w:r>
          </w:p>
        </w:tc>
      </w:tr>
    </w:tbl>
    <w:p w:rsidR="00382730" w:rsidRPr="0029273D" w:rsidRDefault="00382730">
      <w:pPr>
        <w:rPr>
          <w:rFonts w:ascii="Times New Roman" w:hAnsi="Times New Roman" w:cs="Times New Roman"/>
          <w:color w:val="000000" w:themeColor="text1"/>
        </w:rPr>
        <w:sectPr w:rsidR="00382730" w:rsidRPr="0029273D" w:rsidSect="008E69A4">
          <w:pgSz w:w="16838" w:h="11905" w:orient="landscape"/>
          <w:pgMar w:top="284" w:right="1134" w:bottom="850" w:left="1134" w:header="0" w:footer="0" w:gutter="0"/>
          <w:cols w:space="720"/>
        </w:sectPr>
      </w:pPr>
    </w:p>
    <w:p w:rsidR="00382730" w:rsidRPr="0029273D" w:rsidRDefault="003827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2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382730" w:rsidRPr="0029273D" w:rsidRDefault="008E69A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противодействие преступности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Канашском районе</w:t>
      </w:r>
    </w:p>
    <w:p w:rsidR="00382730" w:rsidRPr="0029273D" w:rsidRDefault="008E69A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Республики»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07"/>
      <w:bookmarkEnd w:id="3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="00695CE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ПРОТИВОДЕЙСТВИЕ ПРЕСТУПНОСТИ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695CE9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</w:t>
      </w:r>
    </w:p>
    <w:p w:rsidR="00382730" w:rsidRPr="0029273D" w:rsidRDefault="00382730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580"/>
        <w:gridCol w:w="964"/>
        <w:gridCol w:w="1039"/>
        <w:gridCol w:w="1474"/>
        <w:gridCol w:w="784"/>
        <w:gridCol w:w="784"/>
        <w:gridCol w:w="664"/>
        <w:gridCol w:w="664"/>
        <w:gridCol w:w="664"/>
        <w:gridCol w:w="664"/>
        <w:gridCol w:w="664"/>
        <w:gridCol w:w="784"/>
        <w:gridCol w:w="784"/>
      </w:tblGrid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 Чувашской Республики, подпрограммы муниципальной программы Канашского района Чувашской Республики, основного мероприятия</w:t>
            </w:r>
          </w:p>
        </w:tc>
        <w:tc>
          <w:tcPr>
            <w:tcW w:w="2003" w:type="dxa"/>
            <w:gridSpan w:val="2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74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56" w:type="dxa"/>
            <w:gridSpan w:val="9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годам, тыс. рублей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474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2026 - 2030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2031 - 2035</w:t>
            </w:r>
          </w:p>
        </w:tc>
      </w:tr>
      <w:tr w:rsidR="0029273D" w:rsidRPr="0029273D">
        <w:tc>
          <w:tcPr>
            <w:tcW w:w="107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80" w:type="dxa"/>
            <w:vMerge w:val="restart"/>
          </w:tcPr>
          <w:p w:rsidR="00382730" w:rsidRPr="0029273D" w:rsidRDefault="00695CE9" w:rsidP="00695C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общественного порядка и противодействие преступности в Канашском районе 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1114,6</w:t>
            </w:r>
          </w:p>
        </w:tc>
        <w:tc>
          <w:tcPr>
            <w:tcW w:w="784" w:type="dxa"/>
          </w:tcPr>
          <w:p w:rsidR="00382730" w:rsidRPr="0029273D" w:rsidRDefault="00382730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95CE9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340,2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1210,9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1083,0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1083,0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Чувашской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621,6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644,2</w:t>
            </w:r>
          </w:p>
        </w:tc>
        <w:tc>
          <w:tcPr>
            <w:tcW w:w="664" w:type="dxa"/>
          </w:tcPr>
          <w:p w:rsidR="00382730" w:rsidRPr="0029273D" w:rsidRDefault="00382730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95CE9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761,7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483,0</w:t>
            </w:r>
          </w:p>
        </w:tc>
        <w:tc>
          <w:tcPr>
            <w:tcW w:w="78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696,0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547,0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400,4</w:t>
            </w:r>
          </w:p>
        </w:tc>
        <w:tc>
          <w:tcPr>
            <w:tcW w:w="664" w:type="dxa"/>
          </w:tcPr>
          <w:p w:rsidR="00382730" w:rsidRPr="0029273D" w:rsidRDefault="00695CE9" w:rsidP="00695C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580" w:type="dxa"/>
            <w:vMerge w:val="restart"/>
          </w:tcPr>
          <w:p w:rsidR="00382730" w:rsidRPr="0029273D" w:rsidRDefault="00F66024" w:rsidP="00F660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правонарушений в Канашском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468,0</w:t>
            </w:r>
          </w:p>
        </w:tc>
        <w:tc>
          <w:tcPr>
            <w:tcW w:w="784" w:type="dxa"/>
          </w:tcPr>
          <w:p w:rsidR="00382730" w:rsidRPr="0029273D" w:rsidRDefault="00F66024" w:rsidP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664" w:type="dxa"/>
          </w:tcPr>
          <w:p w:rsidR="00382730" w:rsidRPr="0029273D" w:rsidRDefault="00F66024" w:rsidP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492,0</w:t>
            </w:r>
          </w:p>
        </w:tc>
        <w:tc>
          <w:tcPr>
            <w:tcW w:w="664" w:type="dxa"/>
          </w:tcPr>
          <w:p w:rsidR="00382730" w:rsidRPr="0029273D" w:rsidRDefault="00F66024" w:rsidP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664" w:type="dxa"/>
          </w:tcPr>
          <w:p w:rsidR="00382730" w:rsidRPr="0029273D" w:rsidRDefault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458,0</w:t>
            </w:r>
          </w:p>
        </w:tc>
        <w:tc>
          <w:tcPr>
            <w:tcW w:w="784" w:type="dxa"/>
          </w:tcPr>
          <w:p w:rsidR="00382730" w:rsidRPr="0029273D" w:rsidRDefault="00F66024" w:rsidP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664" w:type="dxa"/>
          </w:tcPr>
          <w:p w:rsidR="00382730" w:rsidRPr="0029273D" w:rsidRDefault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F660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78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66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78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66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664" w:type="dxa"/>
          </w:tcPr>
          <w:p w:rsidR="00382730" w:rsidRPr="0029273D" w:rsidRDefault="00C85C88" w:rsidP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5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664" w:type="dxa"/>
          </w:tcPr>
          <w:p w:rsidR="00382730" w:rsidRPr="0029273D" w:rsidRDefault="00C85C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6</w:t>
            </w:r>
          </w:p>
        </w:tc>
        <w:tc>
          <w:tcPr>
            <w:tcW w:w="2580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участковых пунктов полиции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580" w:type="dxa"/>
            <w:vMerge w:val="restart"/>
          </w:tcPr>
          <w:p w:rsidR="00382730" w:rsidRPr="0029273D" w:rsidRDefault="001478BF" w:rsidP="001478B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незаконного потребления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в Канашском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664" w:type="dxa"/>
          </w:tcPr>
          <w:p w:rsidR="00382730" w:rsidRPr="0029273D" w:rsidRDefault="001478BF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664" w:type="dxa"/>
          </w:tcPr>
          <w:p w:rsidR="00382730" w:rsidRPr="0029273D" w:rsidRDefault="001478BF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организационно-правового и ресурсного обеспечения антинаркотической деятельности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664" w:type="dxa"/>
          </w:tcPr>
          <w:p w:rsidR="00382730" w:rsidRPr="0029273D" w:rsidRDefault="001478BF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664" w:type="dxa"/>
          </w:tcPr>
          <w:p w:rsidR="00382730" w:rsidRPr="0029273D" w:rsidRDefault="001478BF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ятие 4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Совершенствование системы социальной реабилитации и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580" w:type="dxa"/>
            <w:vMerge w:val="restart"/>
          </w:tcPr>
          <w:p w:rsidR="00382730" w:rsidRPr="0029273D" w:rsidRDefault="001478BF" w:rsidP="001478B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детской беспризорности, безнадзорности и правонарушений несовершеннолетних в Канашс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 районе Чувашской Республики»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621,6</w:t>
            </w:r>
          </w:p>
        </w:tc>
        <w:tc>
          <w:tcPr>
            <w:tcW w:w="784" w:type="dxa"/>
          </w:tcPr>
          <w:p w:rsidR="00382730" w:rsidRPr="0029273D" w:rsidRDefault="00382730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61171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86,3</w:t>
            </w:r>
          </w:p>
        </w:tc>
        <w:tc>
          <w:tcPr>
            <w:tcW w:w="664" w:type="dxa"/>
          </w:tcPr>
          <w:p w:rsidR="00382730" w:rsidRPr="0029273D" w:rsidRDefault="00261171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693,5</w:t>
            </w:r>
          </w:p>
        </w:tc>
        <w:tc>
          <w:tcPr>
            <w:tcW w:w="664" w:type="dxa"/>
          </w:tcPr>
          <w:p w:rsidR="00382730" w:rsidRPr="0029273D" w:rsidRDefault="00261171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664" w:type="dxa"/>
          </w:tcPr>
          <w:p w:rsidR="00382730" w:rsidRPr="0029273D" w:rsidRDefault="00382730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61171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838,6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621,6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643,3</w:t>
            </w:r>
          </w:p>
        </w:tc>
        <w:tc>
          <w:tcPr>
            <w:tcW w:w="664" w:type="dxa"/>
          </w:tcPr>
          <w:p w:rsidR="00382730" w:rsidRPr="0029273D" w:rsidRDefault="00261171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663,5</w:t>
            </w:r>
          </w:p>
        </w:tc>
        <w:tc>
          <w:tcPr>
            <w:tcW w:w="664" w:type="dxa"/>
          </w:tcPr>
          <w:p w:rsidR="00382730" w:rsidRPr="0029273D" w:rsidRDefault="00382730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61171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82,6</w:t>
            </w:r>
          </w:p>
        </w:tc>
        <w:tc>
          <w:tcPr>
            <w:tcW w:w="664" w:type="dxa"/>
          </w:tcPr>
          <w:p w:rsidR="00382730" w:rsidRPr="0029273D" w:rsidRDefault="00382730" w:rsidP="0026117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61171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838,6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621,6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643,3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838,6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621,6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643,3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957,1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657,1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798,7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838,6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107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3657" w:type="dxa"/>
            <w:gridSpan w:val="2"/>
            <w:vMerge w:val="restart"/>
          </w:tcPr>
          <w:p w:rsidR="00382730" w:rsidRPr="0029273D" w:rsidRDefault="00382730" w:rsidP="001478B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="001478BF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реализации муниципальной программы Канашского района Чувашской Республики </w:t>
            </w:r>
            <w:r w:rsidR="001478BF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общественного порядка и противодействие преступности в Канашском районе Чувашской Республики</w:t>
            </w:r>
            <w:r w:rsidR="001478BF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2019 - 2035 годы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64" w:type="dxa"/>
          </w:tcPr>
          <w:p w:rsidR="00382730" w:rsidRPr="0029273D" w:rsidRDefault="00382730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1478BF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382730" w:rsidRPr="0029273D" w:rsidRDefault="00382730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1478BF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382730" w:rsidRPr="0029273D" w:rsidRDefault="00382730" w:rsidP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1478BF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382730" w:rsidRPr="0029273D" w:rsidRDefault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82730" w:rsidRPr="0029273D" w:rsidRDefault="001478B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273D" w:rsidRPr="0029273D">
        <w:tc>
          <w:tcPr>
            <w:tcW w:w="3657" w:type="dxa"/>
            <w:gridSpan w:val="2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29273D" w:rsidRPr="0029273D">
        <w:tc>
          <w:tcPr>
            <w:tcW w:w="3657" w:type="dxa"/>
            <w:gridSpan w:val="2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8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382730" w:rsidRPr="0029273D" w:rsidRDefault="00382730">
      <w:pPr>
        <w:rPr>
          <w:color w:val="000000" w:themeColor="text1"/>
        </w:rPr>
        <w:sectPr w:rsidR="00382730" w:rsidRPr="0029273D" w:rsidSect="008E69A4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382730" w:rsidRPr="0029273D" w:rsidRDefault="003827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3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382730" w:rsidRPr="0029273D" w:rsidRDefault="00E208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противодействие преступности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Канашском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317"/>
      <w:bookmarkEnd w:id="4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382730" w:rsidRPr="0029273D" w:rsidRDefault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юридической службы отдела организационно-контрольной и кадровой работы администрации Канашского района Чувашской Республики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Канашского района, сектор по физической культуре и спорту администрации Канашского района, сектор культуры и по делам архивов администрации Канашского района, сектор опеки и попечительства администрации Канашского района, сектор экономики администрации Канашского района, отдел по развитию общественной инфраструктуры администрации Канашского района, сектор специальных программ администрации Канашского района, комиссия по делам несовершеннолетних и защите их прав при администрации Канашского района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E208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ОМВД России по Канашскому району (по согласованию), БУ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Канашская центральная районная больница им. Ф.Г.Григорьева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Минздрава Чувашии (по согласованию),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согласованию), Канашский межмуниципальный ФКУ УИИ УФСИН России по Чувашской Республике - Чувашии (по согласованию), Отделение лицензионно-разрешительной работы (по городу Канашу, Батыревскому, Канашскому, Комсомольскому, Урмарскому, Шемуршинскому, Яльчикскому и Янтиковскому районам) Отдела Росгвардии по Чувашской Республике (по согласованию), сельские поселения (по согласованию)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взаимодействия правоохранительных, контролирующих органов, органов местного самоуправления Канашского района Чувашской Республики (далее - органы местного самоуправления),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граждан, их объединений, участвующих в охране общественного порядка (далее - общественные формирования) в сфере профилактики правонарушений и борьбы с преступностью;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в ресоциализации лиц, освободившихся из мест лишения свободы;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правовой культуры и информированности населения;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безопасной обстановки на улицах и в других общественных местах, в том числе путем более широкого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распространения и внедрения современных технических средств охраны правопорядка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2036 году предусматривается достижение следующих показателей: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ранее судимых лиц от общего числа лиц, привлеченных к уголовной ответственности до </w:t>
            </w:r>
            <w:r w:rsidR="009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64,3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преступлений, совершенных на улицах и в других общественных местах на 10 тыс. населения до </w:t>
            </w:r>
            <w:r w:rsidR="009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20,7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 до 36,1%;</w:t>
            </w:r>
          </w:p>
          <w:p w:rsidR="00382730" w:rsidRPr="0029273D" w:rsidRDefault="00382730" w:rsidP="00861E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расследованных преступлений превентивной направленности в общем массиве расследованных преступлений </w:t>
            </w:r>
            <w:r w:rsidR="009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2019 - 2035 годы: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- 2019 - 2025 годы;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- 2026 - 2030 годы;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- 2031 - 2035 годы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прогнозируемый объем бюджетных ассигнований подпрограммы в 2019 - 2035 годах составит 1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5518,9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за счет средств бюджета Канашского района Чувашской Республики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615,5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из них: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- 483,0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году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696,0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году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547,0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2022 году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400,4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20856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400,4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- 381,9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- 400,9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- 2330,2 тыс. рублей;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- 2975,7 тыс. рублей</w:t>
            </w:r>
          </w:p>
        </w:tc>
      </w:tr>
      <w:tr w:rsidR="00382730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ожидаемыми результатами реализации подпрограммы являются: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 оперативной обстановки;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общественно-опасных преступлений за счет предупреждения совершения тяжких и особо тяжких преступлений;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уровня рецидивной преступности, доли несовершеннолетних преступников, снижение криминогенности общественных мест;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тяжести последствий от преступных посягательств, дорожно-транспортных происшествий и повышение возмещаемости нанесенного гражданам ущерба;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лиц асоциального поведения, охваченных системой профилактических мер;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доверия населения к правоохранительным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органам, а также правовой культуры населения;</w:t>
            </w:r>
          </w:p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трудоспособности граждан за счет сокращения числа погибших и снижения тяжести последствий преступных посягательств.</w:t>
            </w:r>
          </w:p>
        </w:tc>
      </w:tr>
    </w:tbl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I. ХАРАКТЕРИСТИКА СФЕРЫ РЕАЛИЗАЦИИ ПОДПРОГРАММЫ,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ОСНОВНЫХ ПРОБЛЕМ В УКАЗАННОЙ СФЕРЕ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 ЕЕ РАЗВИТИЯ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Канашского района Чувашской Республики создана многоуровневая система профилактики правонарушений. Действует необходимая нормативная правовая база: Закон Чувашской Республики от 23 июля 2003 г. N 22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административных правонарушениях в Чувашской Республике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 Чувашской Республики от 27 декабря 2014 N 97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регулировании отдельных правоотношений, связанных с участием граждан в охране общественного порядка на территории Чувашской Республики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 Чувашской Республики от 22 февраля 2017 N 5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профилактике правонарушений в Чувашской Республике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 Чувашской Республики от 24 ноября 2004 г. N 48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социальной поддержке детей в Чувашской Республике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Закон Чувашской Республики от 29 декабря 2005 г. N 68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комиссиях по делам несовершеннолетних и защите их прав в Чувашской Республике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Функционирует межведомственная Комиссия по профилактике правонарушений при администрации Канашского района Чувашской Республики. Во всех сельских поселениях Канашского района Чувашской Республики созданы и функционируют советы профилактики. Совершенствуются межведомственное взаимодействие и координация действий субъектов профилактики правонарушений.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Налажено тесное взаимодействие и сотрудничество государственных и муниципальных органов, общественных объединений, организаций и граждан с полицией.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Накоплен опыт программно-целевого планирования профилактики правонарушений и противодействия преступности. Правоохранительными органами проделан значительный объем работы по стабилизации криминогенной обстановки, обеспечению защиты прав и интересов граждан и юридических лиц, обеспечению общественного порядка и безопасности.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совершающих противоправные деяния, относятся безработные, ранее судимые, несовершеннолетние, а также лица, страдающие алкоголизмом и наркоманией.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свободы. Серьезной проблемой является преступность в сфере семейно-бытовых отношений.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количество зарегистрированных преступлений стабильно уменьшалось, в итоге снижение составило 10,0% (с 251 до 226). Уровень преступности на 10 тыс. населения составил 64,2 преступления. В общем массиве преступности преобладают посягательства небольшой тяжести, доля которых составляет 63,7% (АППГ - 55,7%), всего их зарегистрировано 144 (АППГ - 140). Количество особо тяжких преступлений снизилось на 77,8% (с 9 до 2), количество тяжких преступлений на 13,5% (с 37 до 32) и преступлений средней тяжести на 26,2% (с 65 до 48).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Негативное влияние на состояние оперативной обстановки продолжает оказывать распространенность бытового пьянства и алкоголизма. Доля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пьяной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преступности остается одной из высоких в республике и составляет 51,0%.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Остается сложным положение в сфере экономики. Расширяются интересы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криминальных структур в кредитно-финансовой и бюджетной сферах, на рынке ценных бумаг, в топливно-энергетическом комплексе. Имеет место значительный уровень латентности преступлений, связанных с легализацией незаконно приобретенного имущества. Совершение экономических преступлений тесно связано с проявлениями коррупции в органах местного самоуправления.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проведение целенаправленной работы по предупреждению, пресечению и раскрытию тяжких и особо тяжких преступлений. Остается сложной ситуация в сфере преступлений против собственности.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Имеются проблемы в оказании помощи потерпевшим в результате преступного посягательства либо дорожно-транспортного происшествия, а также улучшении материально-технического обеспечения деятельности правоохранительных органов, что в определенной степени негативно влияет на складывающуюся криминогенную обстановку.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подпрограммы позволит создать условия, способствующие повышению эффективности профилактических мероприятий и противодействия преступности, совершенствованию взаимодействия правоохранительных, контролирующих органов, органов местного самоуправления, широкому привлечению к этой работе негосударственных структур, общественных формирований и граждан, укреплению законности и правопорядка, оздоровлению криминогенной ситуации в Канашском районе Чувашской Республики.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ПРИОРИТЕТЫ В СФЕРЕ РЕАЛИЗАЦИИ ПОДПРОГРАММЫ,</w:t>
      </w:r>
    </w:p>
    <w:p w:rsidR="00382730" w:rsidRPr="0029273D" w:rsidRDefault="00382730" w:rsidP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ЦЕЛИ, ЗАДАЧИ И ПОКАЗАТЕЛИ (ИНДИКАТОРЫ) ДОСТИЖЕНИЯ ЦЕЛЕЙ</w:t>
      </w:r>
    </w:p>
    <w:p w:rsidR="00382730" w:rsidRPr="0029273D" w:rsidRDefault="00382730" w:rsidP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РЕШЕНИЯ ЗАДАЧ, ОПИСАНИЕ ОСНОВНЫХ ОЖИДАЕМЫХ</w:t>
      </w:r>
    </w:p>
    <w:p w:rsidR="00382730" w:rsidRPr="0029273D" w:rsidRDefault="00382730" w:rsidP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КОНЕЧНЫХ РЕЗУЛЬТАТОВ, СРОК РЕАЛИЗАЦИИ ПОДПРОГРАММЫ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Приоритетным направлением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различные стороны жизнедеятельности граждан, функционирование правоохранительной и уголовно-исполнительной систем.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настоящей подпрограммы являются: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правоохранительных, контролирующих органов, органов местного самоуправления, общественных формирований и граждан в сфере профилактики правонарушений и борьбы с преступностью, в том числе удержание контроля над криминогенной ситуацией в районе;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уровня рецидивной преступности и количества преступлений,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совершенных в состоянии алкогольного опьянения;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помощи в ресоциализации лиц, освободившихся из мест лишения свободы;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правовой культуры и информированности населения;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2019 - 2035 годах с разделением на 3 этапа.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Состав показателей (индикаторов) подпрограммы определен исходя из необходимости выполнения основных целей и задач подпрограммы и приведен в приложении N 1 к настоящей подпрограмме.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выполнения поставленных целей и задач подпрограммы к 2035 году будут достигнуты следующие показатели (по сравнению с 2018 годом):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ранее судимых лиц от общего числа лиц, привлеченных к уголовной ответственности - с 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63,0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64,3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уровень преступлений, совершенных на улицах и в других общественных местах на 10 тыс. населения - с 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10,8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20,7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лиц, совершивших преступления в состоянии алкогольного опьянения от общего числа лиц, привлеченных к уголовной ответственности - с 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51,1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36,1 процента;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 - с 3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2B42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90319E">
        <w:rPr>
          <w:rFonts w:ascii="Times New Roman" w:hAnsi="Times New Roman" w:cs="Times New Roman"/>
          <w:color w:val="000000" w:themeColor="text1"/>
          <w:sz w:val="24"/>
          <w:szCs w:val="24"/>
        </w:rPr>
        <w:t>30,9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процента.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ХАРАКТЕРИСТИКА</w:t>
      </w:r>
    </w:p>
    <w:p w:rsidR="00382730" w:rsidRPr="0029273D" w:rsidRDefault="00382730" w:rsidP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МЕРОПРИЯТИЙ ПОДПРОГРАММЫ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отдельные мероприятия по финансовому обеспечению, организационные мероприятия.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объединяет пять основных мероприятий.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 Дальнейшее развитие многоуровневой системы профилактики правонарушений.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комплекса мероприятий по организации деятельности Советов профилактики;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общественными объединениями правоохранительной направленности;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эффективное использование физкультурно-спортивных комплексов в целях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активного приобщения граждан к занятиям физической культурой и спортом;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получения дополнительного профессионального образования организаторами воспитательного процесса в образовательных организациях республики с привлечением ученых и практиков;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профилактической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общественных формирований правоохранительной направленности к охране общественного порядка и общественной безопасности;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районного конкурса 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Лучший народный дружинник</w:t>
      </w:r>
      <w:r w:rsidR="00E20856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занятости лиц, освободившихся из мест лишения свободы, осужденных к исправительным работам;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в оказании помощи в направлении в дома престарелых и инвалидов лиц, освобождаемых из исправительных учреждений уголовно-исполнительной системы, по состоянию здоровья нуждающихся в постороннем уходе и не имеющих постоянного места жительства;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осужденных по вопросам оказания медицинских и социальных услуг;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помощи в медико-социальной экспертизе для установления инвалидности осужденному;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сожительствования (в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гражданском браке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профилактических мероприятий по выявлению и пресечению правонарушений в сфере оборота алкогольной и наркотической продукции, незаконного изготовления и реализации спиртных напитков домашней выработки, продажи алкогольной продукции;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 в СМИ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 и наркоманией;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порядка, профилактике правонарушений, в том числе связанных с бытовым пьянством, алкоголизмом.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4. Помощь лицам, пострадавшим от правонарушений или подверженным риску стать таковыми.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5. Информационно-методическое обеспечение профилактики правонарушений и повышение уровня правовой культуры населения.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размещение в средствах массовой информации материалов о позитивных результатах деятельности правоохранительных органов, лучших сотрудниках;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создания и размещения в средствах массовой информации социальной рекламы, направленной на профилактику правонарушений;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информационных выставок, социальных акций, направленных на профилактику правонарушений;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семинаров, круглых столов и совещаний с участием представителей правоохранительных органов, представителей органов местного самоуправления, СМИ, общественных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мероприятий, направленных на правовое воспитание лиц, осужденных к уголовным наказаниям, не связанным с лишением свободы;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ОБОСНОВАНИЕ ОБЪЕМОВ ФИНАНСОВЫХ РЕСУРСОВ,</w:t>
      </w:r>
    </w:p>
    <w:p w:rsidR="00382730" w:rsidRPr="0029273D" w:rsidRDefault="00382730" w:rsidP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РЕАЛИЗАЦИИ ПОДПРОГРАММЫ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бюджетных ассигнований подпрограммы прогнозируемый в 2019 - 2035 годах составит 1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5518,9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 бюджета Канашского района Чувашской Республики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615,5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них: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- 483,0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696,0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547,0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400,4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4AF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400,4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- 381,9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- 400,9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2026 - 2030 годах - 2330,2 тыс. рублей;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2031 - 2035 годах - 2975,7 тыс. рублей.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подпрограммы за счет всех источников финансирования приведено в приложении N 3 к настоящей подпрограмме и ежегодно будет уточняться.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V. АНАЛИЗ РИСКОВ РЕАЛИЗАЦИИ ПОДПРОГРАММЫ</w:t>
      </w:r>
    </w:p>
    <w:p w:rsidR="00382730" w:rsidRPr="0029273D" w:rsidRDefault="00382730" w:rsidP="00E2085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ОПИСАНИЕ МЕР УПРАВЛЕНИЯ РИСКАМИ РЕАЛИЗАЦИИ ПОДПРОГРАММЫ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бюджета Канашского района, местных бюджетов, а также предусмотренные ею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382730" w:rsidRPr="0029273D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3.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E2085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color w:val="000000" w:themeColor="text1"/>
        </w:rPr>
      </w:pPr>
    </w:p>
    <w:p w:rsidR="00822AB6" w:rsidRPr="0029273D" w:rsidRDefault="00822AB6">
      <w:pPr>
        <w:pStyle w:val="ConsPlusNormal"/>
        <w:jc w:val="both"/>
        <w:rPr>
          <w:color w:val="000000" w:themeColor="text1"/>
        </w:rPr>
        <w:sectPr w:rsidR="00822AB6" w:rsidRPr="0029273D">
          <w:pgSz w:w="11905" w:h="16838"/>
          <w:pgMar w:top="1134" w:right="850" w:bottom="1134" w:left="1701" w:header="0" w:footer="0" w:gutter="0"/>
          <w:cols w:space="720"/>
        </w:sectPr>
      </w:pPr>
    </w:p>
    <w:p w:rsidR="00382730" w:rsidRPr="0029273D" w:rsidRDefault="0038273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Канашском районе 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порядка и противодействие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преступности в Канашском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530"/>
      <w:bookmarkEnd w:id="5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ПОКАЗАТЕЛЯХ (ИНДИКАТОРАХ) ПОДПРОГРАММЫ</w:t>
      </w:r>
    </w:p>
    <w:p w:rsidR="00382730" w:rsidRPr="0029273D" w:rsidRDefault="00476C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ПРОГРАММЫ</w:t>
      </w:r>
    </w:p>
    <w:p w:rsidR="00382730" w:rsidRPr="0029273D" w:rsidRDefault="00476C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 И ПРОТИВОДЕЙСТВИЕ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ПРЕСТУПНОСТИ В КАНАШСКОМ РАЙОНЕ 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 2019 - 2035 ГОДЫ И ИХ ЗНАЧЕНИЯХ</w:t>
      </w:r>
    </w:p>
    <w:p w:rsidR="00476C5C" w:rsidRPr="0029273D" w:rsidRDefault="00476C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113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29273D" w:rsidRPr="0029273D">
        <w:tc>
          <w:tcPr>
            <w:tcW w:w="567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3288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134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640" w:type="dxa"/>
            <w:gridSpan w:val="10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29273D" w:rsidRPr="0029273D">
        <w:tc>
          <w:tcPr>
            <w:tcW w:w="56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</w:t>
            </w:r>
          </w:p>
        </w:tc>
      </w:tr>
      <w:tr w:rsidR="0029273D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9273D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664" w:type="dxa"/>
          </w:tcPr>
          <w:p w:rsidR="00382730" w:rsidRPr="0029273D" w:rsidRDefault="0090319E" w:rsidP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664" w:type="dxa"/>
          </w:tcPr>
          <w:p w:rsidR="00382730" w:rsidRPr="0029273D" w:rsidRDefault="0090319E" w:rsidP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664" w:type="dxa"/>
          </w:tcPr>
          <w:p w:rsidR="00382730" w:rsidRPr="0029273D" w:rsidRDefault="0090319E" w:rsidP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664" w:type="dxa"/>
          </w:tcPr>
          <w:p w:rsidR="00382730" w:rsidRPr="0029273D" w:rsidRDefault="0090319E" w:rsidP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664" w:type="dxa"/>
          </w:tcPr>
          <w:p w:rsidR="00382730" w:rsidRPr="0029273D" w:rsidRDefault="0090319E" w:rsidP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664" w:type="dxa"/>
          </w:tcPr>
          <w:p w:rsidR="00382730" w:rsidRPr="0029273D" w:rsidRDefault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664" w:type="dxa"/>
          </w:tcPr>
          <w:p w:rsidR="00382730" w:rsidRPr="0029273D" w:rsidRDefault="0090319E" w:rsidP="009031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</w:tr>
      <w:tr w:rsidR="0029273D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36,1</w:t>
            </w:r>
          </w:p>
        </w:tc>
      </w:tr>
      <w:tr w:rsidR="0029273D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30,7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30,9</w:t>
            </w:r>
          </w:p>
        </w:tc>
      </w:tr>
      <w:tr w:rsidR="0029273D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63,5</w:t>
            </w:r>
          </w:p>
        </w:tc>
      </w:tr>
      <w:tr w:rsidR="0029273D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</w:tr>
      <w:tr w:rsidR="00382730" w:rsidRPr="0029273D">
        <w:tc>
          <w:tcPr>
            <w:tcW w:w="56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88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осужденных к исправительным работам, охваченных трудом, в общем количестве лиц, подлежащих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привлечению к отбыванию наказания в виде исправительных работ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99,97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99,99</w:t>
            </w:r>
          </w:p>
        </w:tc>
      </w:tr>
    </w:tbl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2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Канашском районе 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порядка и противодействие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преступности в Канашском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731"/>
      <w:bookmarkEnd w:id="6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ПОДПРОГРАММЫ 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КАНАШСКОМ РАЙОНЕ 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ПРОТИВОДЕЙСТВИЕ ПРЕСТУПНОСТИ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476C5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ВСЕХ ИСТОЧНИКОВ ФИНАНСИРОВАНИЯ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580"/>
        <w:gridCol w:w="737"/>
        <w:gridCol w:w="1134"/>
        <w:gridCol w:w="1531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программы Чувашской Республики, подпрограммы муниципальной программы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Канашского района Чувашской Республики, основного мероприятия</w:t>
            </w:r>
          </w:p>
        </w:tc>
        <w:tc>
          <w:tcPr>
            <w:tcW w:w="1871" w:type="dxa"/>
            <w:gridSpan w:val="2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1531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20" w:type="dxa"/>
            <w:gridSpan w:val="9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годам, тыс. рублей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распорядит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ель бюджетных средств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целевая статья расходов</w:t>
            </w:r>
          </w:p>
        </w:tc>
        <w:tc>
          <w:tcPr>
            <w:tcW w:w="15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2026 - 2030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2031 - 2035</w:t>
            </w:r>
          </w:p>
        </w:tc>
      </w:tr>
      <w:tr w:rsidR="0029273D" w:rsidRPr="0029273D"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8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</w:t>
            </w:r>
          </w:p>
        </w:tc>
        <w:tc>
          <w:tcPr>
            <w:tcW w:w="2580" w:type="dxa"/>
            <w:vMerge w:val="restart"/>
          </w:tcPr>
          <w:p w:rsidR="00382730" w:rsidRPr="0029273D" w:rsidRDefault="00E94763" w:rsidP="00E9476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правонарушений в Канашском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468,0</w:t>
            </w:r>
          </w:p>
        </w:tc>
        <w:tc>
          <w:tcPr>
            <w:tcW w:w="720" w:type="dxa"/>
          </w:tcPr>
          <w:p w:rsidR="00382730" w:rsidRPr="0029273D" w:rsidRDefault="00E94763" w:rsidP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720" w:type="dxa"/>
          </w:tcPr>
          <w:p w:rsidR="00382730" w:rsidRPr="0029273D" w:rsidRDefault="00E94763" w:rsidP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82730" w:rsidRPr="0029273D" w:rsidRDefault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458,0</w:t>
            </w:r>
          </w:p>
        </w:tc>
        <w:tc>
          <w:tcPr>
            <w:tcW w:w="720" w:type="dxa"/>
          </w:tcPr>
          <w:p w:rsidR="00382730" w:rsidRPr="0029273D" w:rsidRDefault="00E94763" w:rsidP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628,0</w:t>
            </w:r>
          </w:p>
        </w:tc>
        <w:tc>
          <w:tcPr>
            <w:tcW w:w="720" w:type="dxa"/>
          </w:tcPr>
          <w:p w:rsidR="00382730" w:rsidRPr="0029273D" w:rsidRDefault="00E94763" w:rsidP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492,0</w:t>
            </w:r>
          </w:p>
        </w:tc>
        <w:tc>
          <w:tcPr>
            <w:tcW w:w="720" w:type="dxa"/>
          </w:tcPr>
          <w:p w:rsidR="00382730" w:rsidRPr="0029273D" w:rsidRDefault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E947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Канашского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430,0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rPr>
          <w:gridAfter w:val="13"/>
          <w:wAfter w:w="12702" w:type="dxa"/>
          <w:trHeight w:val="458"/>
        </w:trPr>
        <w:tc>
          <w:tcPr>
            <w:tcW w:w="850" w:type="dxa"/>
            <w:vMerge/>
          </w:tcPr>
          <w:p w:rsidR="00DE5CDB" w:rsidRPr="0029273D" w:rsidRDefault="00DE5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>
        <w:trPr>
          <w:gridAfter w:val="13"/>
          <w:wAfter w:w="12702" w:type="dxa"/>
          <w:trHeight w:val="458"/>
        </w:trPr>
        <w:tc>
          <w:tcPr>
            <w:tcW w:w="850" w:type="dxa"/>
            <w:vMerge/>
          </w:tcPr>
          <w:p w:rsidR="00DE5CDB" w:rsidRPr="0029273D" w:rsidRDefault="00DE5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участковых пунктов полиции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Материальное стимулирование народных дружинников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Материально-техническое обеспечение народных дружинников</w:t>
            </w:r>
          </w:p>
        </w:tc>
        <w:tc>
          <w:tcPr>
            <w:tcW w:w="737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5</w:t>
            </w:r>
          </w:p>
        </w:tc>
        <w:tc>
          <w:tcPr>
            <w:tcW w:w="2580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20" w:type="dxa"/>
          </w:tcPr>
          <w:p w:rsidR="00382730" w:rsidRPr="0029273D" w:rsidRDefault="00DE5CDB" w:rsidP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>
        <w:tc>
          <w:tcPr>
            <w:tcW w:w="85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720" w:type="dxa"/>
          </w:tcPr>
          <w:p w:rsidR="00382730" w:rsidRPr="0029273D" w:rsidRDefault="00DE5C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382730" w:rsidRPr="0029273D" w:rsidRDefault="00382730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382730" w:rsidRPr="002927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2730" w:rsidRPr="0029273D" w:rsidRDefault="00382730" w:rsidP="008B044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3</w:t>
      </w:r>
    </w:p>
    <w:p w:rsidR="00382730" w:rsidRPr="0029273D" w:rsidRDefault="00382730" w:rsidP="008B04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382730" w:rsidRPr="0029273D" w:rsidRDefault="008B044C" w:rsidP="008B04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</w:t>
      </w:r>
    </w:p>
    <w:p w:rsidR="00382730" w:rsidRPr="0029273D" w:rsidRDefault="00382730" w:rsidP="008B04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противодействие преступности</w:t>
      </w:r>
    </w:p>
    <w:p w:rsidR="00382730" w:rsidRPr="0029273D" w:rsidRDefault="00382730" w:rsidP="008B04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Канашском районе</w:t>
      </w:r>
    </w:p>
    <w:p w:rsidR="00382730" w:rsidRPr="0029273D" w:rsidRDefault="00382730" w:rsidP="008B04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8B044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 w:rsidP="008B044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 2019 - 2035 годы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2144"/>
      <w:bookmarkEnd w:id="7"/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382730" w:rsidRPr="0029273D" w:rsidRDefault="008B044C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НЕЗАКОННОГО ПОТРЕБЛЕНИЯ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НАРКОТИЧЕСКИХ СРЕДСТВ, ПСИХОТРОПНЫХ ВЕЩЕСТВ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НОВЫХ ПОТЕНЦИАЛЬНО ОПАСНЫХ ПСИХОАКТИВНЫХ ВЕЩЕСТВ,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НАРКОМАНИИ И ПРАВОНАРУШЕНИЙ, СВЯЗАННЫХ С НЕЗАКОННЫМ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ОБОРОТОМ НАРКОТИЧЕСКИХ СРЕДСТВ, ПСИХОТРОПНЫХ ВЕЩЕСТВ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НОВЫХ ПОТЕНЦИАЛЬНО ОПАСНЫХ ПСИХОАКТИВНЫХ ВЕЩЕСТВ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КАНАШСКОМ РАЙОНЕ ЧУВАШСКОЙ РЕСПУБЛИКИ</w:t>
      </w:r>
      <w:r w:rsidR="008B044C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Канашского района Чувашской Республики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отдел администрации Канашского района, сектор по физической культуре и спорту администрации Канашского района, сектор культуры и по делам архивов администрации Канашского района, сектор информатизации администрации Канашского района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ОМВД России по Канашскому району (по согласованию), сельские поселения Канашского района (по согласованию), БУ </w:t>
            </w:r>
            <w:r w:rsidR="008B044C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Канашская районная больница им. Ф.Г.Григорьева</w:t>
            </w:r>
            <w:r w:rsidR="008B044C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Минздрава Чувашии (по согласованию), общественные объединения (по согласованию), средства массовой информации (по согласованию)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профилактика незаконного потребления наркотических средств, психотропных веществ и новых потенциально опасных психоактивных веществ;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единой системы профилактики немедицинского потребления наркотических средств, психотропных веществ и новых потенциально опасных психоактивных веществ различными категориями населения;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профилактических мероприятий по сокращению незаконного потребления наркотических средств;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ограничение доступности наркотических средств, находящихся в незаконном обороте;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совершенствование технологий, способствующих противодействию незаконному обороту наркотических средств;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дальнейшее оснащение лечебно-профилактических учреждений Канашского района необходимым лабораторно-диагностическим оборудованием с целью совершенствования системы лечения и реабилитации лиц, больных наркоманией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2035 году предусматривается достижение следующих показателей: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заболеваемости синдромом зависимости от наркотических веществ (число больных впервые в жизни установленным диагнозом) до 2,55 на 10 тыс. населения;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 числа лиц, больных наркоманией, на уровне 10,20 на 10 тыс. населения;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доли выявленных тяжких и особо тяжких преступлений, связанных с незаконным оборотом наркотических средств до 1,6 процентов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2035 году предусматривается достижение следующих показателей: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распространенность преступлений в сфере незаконного оборота наркотиков - 62,1 на 10 тыс. населения;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наркопреступлений в общем количестве зарегистрированных преступных деяний - 5,5 процента;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- 57,9 процента;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наркопреступлений, - 5,2 процента;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- 30 процентов;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больных наркоманией, привлеченных к мероприятиям медико-социальной реабилитации, в общем числе больных наркоманией, пролеченных стационарно, - 38 процентов;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больных наркоманией, находящихся в ремиссии свыше двух лет, на 100 больных среднегодового контингента - 12,5 процента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- 2019 - 2035 годы: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- 2019 - 2025 годы;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- 2026 - 2030 годы;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- 2031 - 2035 годы</w:t>
            </w:r>
          </w:p>
        </w:tc>
      </w:tr>
      <w:tr w:rsidR="0029273D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Канашского района с </w:t>
            </w: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разбивкой по годам ее реализации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прогнозируемый объем финансирования на реализацию мероприятий муниципальной подпрограммы в 2019 - 2035 годах составит 584,24 тыс. рублей, в том числе: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- 25,0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2020 году - 25,0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- 25,0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- 26,2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- 27,5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- 28,8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- 30,24 тыс. рублей;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- 174,5 тыс. рублей;</w:t>
            </w:r>
          </w:p>
          <w:p w:rsidR="00382730" w:rsidRPr="0029273D" w:rsidRDefault="00382730" w:rsidP="008B04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- 222,0 тыс. рублей</w:t>
            </w:r>
          </w:p>
        </w:tc>
      </w:tr>
      <w:tr w:rsidR="00382730" w:rsidRPr="002927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ожидаемыми результатами реализации муниципальной подпрограммы являются: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доступности наркотических средств, психотропных веществ и новых потенциально опасных психоактивных веществ для населения Канашского района Чувашской Республики, прежде всего несовершеннолетних;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снизить масштабы незаконного потребления наркотических средств, психотропных веществ и новых потенциально опасных психоактивных веществ;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изъятых из незаконного оборота наркотических средств, психотропных веществ и новых потенциально опасных психоактивных веществ;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382730" w:rsidRPr="0029273D" w:rsidRDefault="00382730" w:rsidP="008B04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доли выявленных тяжких и особо тяжких преступлений, связанных с незаконным оборотом наркотических средств.</w:t>
            </w:r>
          </w:p>
        </w:tc>
      </w:tr>
    </w:tbl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I. ХАРАКТЕРИСТИКА СФЕРЫ РЕАЛИЗАЦИИ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ПОДПРОГРАММЫ, ОПИСАНИЕ ОСНОВНЫХ ПРОБЛЕМ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УКАЗАННОЙ СФЕРЕ И ПРОГНОЗ ЕЕ РАЗВИТИЯ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разработки подпрограммы, направленной на противодействие злоупотреблению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приоритетное значение профилактики наркомании в формировании здорового образа жизни и стабилизации демографической ситуации в Канашском районе Чувашской Республики;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необходимость формирования установок здорового образа жизни как социального свойства личности, гарантирующего в условиях рыночной экономики конкурентоспособность, благополучие семьи, профессиональное долголетие, обеспеченную старость.</w:t>
      </w:r>
    </w:p>
    <w:p w:rsidR="00382730" w:rsidRPr="0029273D" w:rsidRDefault="00BD17CE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одпрограмма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незаконного потребления наркотических средств, психоактивных веществ и новых потенциально опасных психоактивных веществ,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в Канашском районе на 2019 - 2035 годы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подпрограмма) разработана на основании постановления Кабинета Министров Чувашской Республики от 26.09.2018 N 385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Государственной программе </w:t>
      </w:r>
      <w:r w:rsidR="003923B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общественного порядка и противодействие 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преступности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целях дальнейшей реализации Федерального закона от 8 января 1998 г. N 3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 наркотических средствах и психотропных веществах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82730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Анализ ситуации, сложившейся с распространением наркотиков на территории Канашского района Чувашской Республики, показывает, что работа по профилактике и пресечению потребления наркотических средств, психотропных веществ и новых потенциально опасных психоактивных веществ, благодаря объединением усилий субъектов профилактики, накопившим большой опыт работы в новых социально-экономических условиях, позволяют контролировать наркоситуацию. В антинаркотическую работу активно включаются общественные организации и учреждения Канашского района.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относительно благополучную статистику последних лет, актуальность борьбы с незаконным оборотом наркотиков и злоупотреблением ими сохраняется. Это обусловлено следующими факторами: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появлением и распространением на наркорынке, в том числе через информационно-телекоммуникационную сеть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, новых психотропных веществ, обладающих высоким наркогенным потенциалом и высокой токсичностью;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наличием на территории Чувашской Республики автомобильной трассы федерального значения, использующейся в том числе и для транспортировки наркотических средств психотропных веществ и новых потенциально опасных психоактивных веществ;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расположением на территории Чувашской Республики объектов, в деятельности которых осуществляется оборот прекурсоров наркотических средств, психотропных веществ и новых потенциально опасных психоактивных веществ (далее - прекурсоры), в том числе публичного акционерного общества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Химпром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, являющегося предприятием - производителем прекурсоров;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увеличением количества иностранных граждан и лиц без гражданства, поставленных на миграционный учет по месту пребывания;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нахождением на территории Чувашской Республики федерального казенного учреждения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Лечебно-исправительное учреждение N 7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Федеральной службы исполнения наказаний по Чувашской Республике - Чувашии для лечения осужденных женщин, зависимых от наркотических средств.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Злоупотребление наркотическими средствами, психотропными веществами и новыми потенциально опасными психоактивными веществами является одной из наиболее серьезных проблем нашего общества, вызывающей необходимость активных и решительных действий по организации профилактики наркозависимости и борьбы с распространением наркотиков. В рамках реализации Стратегии введен принципиально новый правовой институт альтернативной ответственности, когда решением суда в рамках уголовного или административного судопроизводства обеспечивается направление потребителей наркотических средств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на лечение, реабилитацию и ресоциализацию.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Канашском районе на базе БУ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Канашская ЦРБ им. Ф.Г.Григорьева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 Чувашии работает кабинет нарколога, где ведется прием лиц, страдающих алкогольной и наркотической зависимостью, который обеспечен тест-системами экспресс-диагностики для медицинского освидетельствования состояний наркотического опьянения.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методов первичной профилактики, особенно среди групп повышенного риска (детей и подростков), проведение постоянного мониторинга, внедрение современных превентивных технологий, функционирование санитарно-просветительского кабинета, внедрение анонимных методов обследования и лечения способствовали стабилизации эпидемиологической ситуации.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Канашском районе определены приоритетные направления и осуществляются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меры по профилактике злоупотребления наркотическими средствами и подрыву экономических основ наркопреступности. Деятельность правоохранительных органов в настоящее время переориентирована на преимущественное выявление и привлечение к уголовной ответственности производителей, перевозчиков и сбытчиков наркотиков.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целях своевременного привлечения к лечебно-реабилитационному процессу лиц, потребляющих наркотические средства и психотропные вещества, требуется организация четкой и контролируемой государством системы реабилитации и ресоциализации, что является гуманным по отношению как к самим потребителям, так и к членам их семей. Реализация основных положений национальной системы реабилитации и ресоциализации позволит снизить напряженность наркоситуации, медицинской и социальной потери, а также сформировать систему ранней профилактики рецидивной преступности в обществе. Несмотря на относительную стабильность наркоситуации в Чувашской Республике, актуальность борьбы с незаконным оборотом наркотиков и злоупотреблением ими сохраняется.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настоящей Подпрограммы планируется продолжить наращивание усилий по реализации адекватных и эффективных мер противодействия распространению наркомании. Для решения проблемы предлагается применить программно-целевой подход, который позволяет мобилизовать ресурсные возможности, сконцентрировать усилия органов местного самоуправления и общественных организаций, правоохранительных органов, привлечение общественных объединений, поддержка деятельности медицинских организаций позволяют контролировать наркоситуацию.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разработана в связи с необходимостью принятия дополнительных мер по дальнейшему усилению противодействия незаконному обороту наркотических средств, психотропных веществ и новых потенциально опасных психоактивных веществ, улучшения показателей здоровья жителей Канашского района.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II. ПРИОРИТЕТЫ В СФЕРЕ РЕАЛИЗАЦИИ ПОДПРОГРАММЫ,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ЦЕЛИ, ЗАДАЧИ, ПОКАЗАТЕЛИ (ИНДИКАТОРЫ) ДОСТИЖЕНИЯ ЦЕЛЕЙ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РЕШЕНИЯ ЗАДАЧ, ОПИСАНИЕ ОСНОВНЫХ ОЖИДАЕМЫХ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КОНЕЧНЫХ РЕЗУЛЬТАТОВ, СРОК И ЭТАПЫ РЕАЛИЗАЦИИ ПОДПРОГРАММЫ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подпрограммы являются: профилактика незаконного потребления наркотических средств, психотропных веществ и новых потенциально опасных психоактивных веществ, поэтапное сокращение распространения наркомании и связанных с ней негативных социальных последствий.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поставленной в подпрограмме цели способствует решению следующих задач: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профилактических мероприятий по сокращению незаконного потребления наркотических средств;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ограничение доступности наркотических средств, находящихся в незаконном обороте;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технологий, способствующих противодействию незаконному обороту наркотических средств;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дальнейшее оснащение лечебно-профилактических учреждений Канашского района необходимым лабораторно-диагностическим оборудованием с целью совершенствования системы лечения и реабилитации лиц, больных наркоманией.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 подпрограммы позволит стабилизировать ситуацию с незаконным потреблением наркотических средств, психотропных веществ и новых потенциально опасных психоактивных веществ и повлиять на медико-демографические показатели в Канашском районе Чувашской Республики.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реализуется в 2019 - 2035 годах с разделением на 3 этапа.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Сведения о целевых индикаторах, показателях муниципальной программы определены исходя из необходимости выполнения цели и задач подпрограммы и приведены в Приложении N 1.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выполнения поставленной цели и задач подпрограммы к 2035 году будут достигнуты следующие показатели: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заболеваемости синдромом зависимости от наркотических веществ (число больных впервые в жизни установленным диагнозом) до 4,8 на 10 тыс. населения;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стабилизация числа лиц, больных наркоманией, на уровне 40,0 на 10 тыс. населения;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рост доли выявленных тяжких и особо тяжких преступлений, связанных с незаконным оборотом наркотических средств до 60,6 процентов.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III. ХАРАКТЕРИСТИКА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МЕРОПРИЯТИЙ ПОДПРОГРАММЫ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подпрограммы. Перечень основных мероприятий подпрограммы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незаконного потребления наркотических средств, психотропных веществ и новых потенциально опасных психоактивных веществ,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в Канашском районе Чувашской Республики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программы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общественного порядка и противодействие преступности в Канашском районе Чувашской Республики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2019 - 2035 годы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состоит из: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проведение совместных мероприятий по выявлению и пресечению деятельности лиц, задействованных в налаживании каналов поставок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на территорию Канашского района Чувашской Республики, в том числе с использованием ресурсов информационно-телекоммуникационной сети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комплексных социологических исследований для оценки масштабов немедицинского потребления наркотических средств и социально-экономических потерь от распространения наркомании;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внедрение современных оздоровительных технологий и физкультурно-профилактических моделей по предупреждению потребления наркотиков в системе воспитания и организации досуга молодежи;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системы психолого-педагогического сопровождения процесса социализации детей, подростков и молодежи при проведении физкультурно-оздоровительных мероприятий;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включение в программу учебного процесса образовательных учреждений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Канашского района занятий по формированию у молодежи негативного отношения к употреблению наркотических средств и других одурманивающих веществ;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показов спектаклей с целью формирования здорового образа жизни, профилактики наркомании и СПИДа;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публикаций в печатных средствах массовой информации о вреде употребления наркотических и одурманивающих веществ;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и проведение конкурса плакатов среди учащихся учреждений дополнительного образования детей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Дети за здоровый образ жизни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пособиями и методическими рекомендациями педагогических и медицинских работников, родителей по профилактике и раннему выявлению потребителей психоактивных веществ (далее - ПАВ), в том числе нехимических видов зависимости, среди несовершеннолетних и молодежи;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размещения социальной рекламы в СМИ службами, оказывающими консультативную помощь, направленную на профилактику и раннее выявление потребителей ПАВ;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спортивно-массовых мероприятий, направленных на пропаганду и формирование здорового образа жизни, среди подростков и молодежи;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ежегодных смотров-конкурсов на лучшую организацию физкультурно-оздоровительной и спортивно-массовой работы по месту жительства детей, подростков и молодежи;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ежегодных районных спортивно-массовых мероприятий среди детей и подростков;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ежегодное проведение районной акции "Молодежь за здоровый образ жизни" (март - апрель, октябрь - ноябрь);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образовательных учреждений, медицинских организаций и учреждений культуры учебно-методической литературой, направленной на профилактику незаконного употребления наркотиков, включая периодические антинаркотические печатные издания;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семинаров, совещаний, тренингов для педагогов, направленных на совершенствование превентивных технологий в рамках единого профилактического пространства, обусловливающих снижение спроса на ПАВ в детско-молодежной популяции;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в образовательных учреждениях единого Дня здоровья;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физкультурно-оздоровительной работы с обучающимися, проведение спартакиад, соревнований по отдельным видам спорта, конкурсов с широким привлечением родительской общественности;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внутришкольных санитарных постов;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добровольного тестирования учащихся образовательных учреждений Канашского района при проведении ежегодной диспансеризации;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летнего спортивно-ориентированного оздоровительного отдыха для детей и подростков, состоящих на учете в органах внутренних дел.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предусматривает: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в общественных местах;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профилактических мероприятий в образовательных организациях,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направленных на предупреждение негативных процессов, происходящих в молодежной среде в связи с потреблением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декадника, посвященного Международному дню борьбы с наркоманией.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3. Совершенствование системы реабилитации и ресоциализации потребителей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(за исключением медицинской)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Данное мероприятие включает в себя: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дифференцированной медицинской профилактики злоупотребления наркотиками среди несовершеннолетних на основе взаимодействия со специалистами первичного звена здравоохранения.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Участие органов местного самоуправления Канашского района Чувашской Республики в указанных мероприятиях планируется путем принятия ими соответствующих муниципальных правовых актов в сфере незаконного оборота наркотических, психотропных веществ и новых потенциально опасных психоактивных веществ,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веществ, выделения соответствующего финансирования из средств местного бюджета Канашского района Чувашской Республики.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4. Совершенствование организационно-правового и ресурсного обеспечения антинаркотической деятельности в Канашском районе Чувашской Республики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методического обеспечения деятельности органов местного самоуправления Канашского района Чувашской Республики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мониторинга наркоситуации в Канашском районе Чувашской Республики;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</w:t>
      </w:r>
      <w:r w:rsidR="003923B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3923B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, в реализации мероприятий по пресечению распространения наркотических средств и психотропных веществ;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взаимодействия правоохранительных органов, органов местного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самоуправления в Канашском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антинаркотических акций с привлечением сотрудников всех заинтересованных органов.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IV. ОБОСНОВАНИЕ ОБЪЕМОВ ФИНАНСОВЫХ РЕСУРСОВ,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ДЛЯ РЕАЛИЗАЦИИ ПОДПРОГРАММЫ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подпрограммы в 2019 - 2035 годах составит 584,24 тыс. рублей из средств бюджета Канашского района Чувашской Республики, в том числе: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- 25,0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2020 году - 25,0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2021 году - 25,0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2022 году - 26,2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- 27,5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- 28,8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- 30,24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2026 - 2030 годах - 174,5 тыс. рублей;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2031 - 2035 годах - 222,0 тыс. рублей.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обеспечение и прогнозная (справочная) оценка расходов реализации подпрограммы приведены в Приложении N </w:t>
      </w:r>
      <w:r w:rsidR="00BD17CE"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Раздел V. АНАЛИЗ РИСКОВ РЕАЛИЗАЦИИ ПОДПРОГРАММЫ</w:t>
      </w:r>
    </w:p>
    <w:p w:rsidR="00382730" w:rsidRPr="0029273D" w:rsidRDefault="00382730" w:rsidP="008B044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И ОПИСАНИЕ МЕР УПРАВЛЕНИЯ РИСКАМИ РЕАЛИЗАЦИИ ПОДПРОГРАММЫ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республиканского бюджета Чувашской Республики, а также предусмотренные ею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382730" w:rsidRPr="0029273D" w:rsidRDefault="00382730" w:rsidP="008B04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730" w:rsidRPr="0029273D" w:rsidRDefault="00382730" w:rsidP="008B04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</w:p>
    <w:p w:rsidR="003923BE" w:rsidRPr="0029273D" w:rsidRDefault="003923BE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  <w:sectPr w:rsidR="003923BE" w:rsidRPr="0029273D">
          <w:pgSz w:w="11905" w:h="16838"/>
          <w:pgMar w:top="1134" w:right="850" w:bottom="1134" w:left="1701" w:header="0" w:footer="0" w:gutter="0"/>
          <w:cols w:space="720"/>
        </w:sectPr>
      </w:pPr>
    </w:p>
    <w:p w:rsidR="00382730" w:rsidRPr="0029273D" w:rsidRDefault="0038273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lastRenderedPageBreak/>
        <w:t>Приложение N 1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 xml:space="preserve">к подпрограмме </w:t>
      </w:r>
      <w:r w:rsidR="003923BE" w:rsidRPr="0029273D">
        <w:rPr>
          <w:rFonts w:ascii="Times New Roman" w:hAnsi="Times New Roman" w:cs="Times New Roman"/>
          <w:color w:val="000000" w:themeColor="text1"/>
        </w:rPr>
        <w:t>«</w:t>
      </w:r>
      <w:r w:rsidRPr="0029273D">
        <w:rPr>
          <w:rFonts w:ascii="Times New Roman" w:hAnsi="Times New Roman" w:cs="Times New Roman"/>
          <w:color w:val="000000" w:themeColor="text1"/>
        </w:rPr>
        <w:t>Профилактика незаконного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потребления наркотических средств,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психотропных веществ, новых потенциально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опасных психоактивных веществ, наркомании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и правонарушений, связанных с незаконным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оборотом наркотических средств, психотропных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веществ и новых потенциально опасных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психоактивных веществ в Канашском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  <w:r w:rsidRPr="0029273D">
        <w:rPr>
          <w:rFonts w:ascii="Times New Roman" w:hAnsi="Times New Roman" w:cs="Times New Roman"/>
          <w:color w:val="000000" w:themeColor="text1"/>
        </w:rPr>
        <w:t xml:space="preserve"> муниципальной программы</w:t>
      </w:r>
    </w:p>
    <w:p w:rsidR="00382730" w:rsidRPr="0029273D" w:rsidRDefault="003923B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</w:rPr>
        <w:t>Обеспечение общественного порядка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и противодействие преступности в Канашском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  <w:r w:rsidRPr="0029273D">
        <w:rPr>
          <w:rFonts w:ascii="Times New Roman" w:hAnsi="Times New Roman" w:cs="Times New Roman"/>
          <w:color w:val="000000" w:themeColor="text1"/>
        </w:rPr>
        <w:t xml:space="preserve"> на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8" w:name="P2341"/>
      <w:bookmarkEnd w:id="8"/>
      <w:r w:rsidRPr="0029273D">
        <w:rPr>
          <w:rFonts w:ascii="Times New Roman" w:hAnsi="Times New Roman" w:cs="Times New Roman"/>
          <w:color w:val="000000" w:themeColor="text1"/>
        </w:rPr>
        <w:t>СВЕДЕНИЯ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О ПОКАЗАТЕЛЯХ (ИНДИКАТОРАХ) ПОДПРОГРАММЫ</w:t>
      </w:r>
    </w:p>
    <w:p w:rsidR="00382730" w:rsidRPr="0029273D" w:rsidRDefault="003923BE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</w:rPr>
        <w:t>ПРОФИЛАКТИКА НЕЗАКОННОГО ПОТРЕБЛЕНИЯ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НАРКОТИЧЕСКИХ СРЕДСТВ, ПСИХОТРОПНЫХ ВЕЩЕСТВ,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НОВЫХ ПОТЕНЦИАЛЬНО ОПАСНЫХ ПСИХОАКТИВНЫХ ВЕЩЕСТВ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НАРКОМАНИИ И ПРАВОНАРУШЕНИЙ, СВЯЗАННЫХ С НЕЗАКОННЫМ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ОБОРОТОМ НАРКОТИЧЕСКИХ СРЕДСТВ, ПСИХОТРОПНЫХ ВЕЩЕСТВ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И НОВЫХ ПОТЕНЦИАЛЬНО ОПАСНЫХ ПСИХОАКТИВНЫХ ВЕЩЕСТВ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В КАНАШСКОМ РАЙОНЕ 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r w:rsidR="003923BE" w:rsidRPr="0029273D">
        <w:rPr>
          <w:rFonts w:ascii="Times New Roman" w:hAnsi="Times New Roman" w:cs="Times New Roman"/>
          <w:color w:val="000000" w:themeColor="text1"/>
        </w:rPr>
        <w:t>«</w:t>
      </w:r>
      <w:r w:rsidRPr="0029273D">
        <w:rPr>
          <w:rFonts w:ascii="Times New Roman" w:hAnsi="Times New Roman" w:cs="Times New Roman"/>
          <w:color w:val="000000" w:themeColor="text1"/>
        </w:rPr>
        <w:t>ОБЕСПЕЧЕНИЕ ОБЩЕСТВЕННОГО ПОРЯДКА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И ПРОТИВОДЕЙСТВИЕ ПРЕСТУПНОСТИ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  <w:r w:rsidRPr="0029273D">
        <w:rPr>
          <w:rFonts w:ascii="Times New Roman" w:hAnsi="Times New Roman" w:cs="Times New Roman"/>
          <w:color w:val="000000" w:themeColor="text1"/>
        </w:rPr>
        <w:t xml:space="preserve"> НА 2019 - 2035 ГОДЫ И ИХ ЗНАЧЕНИЯХ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964"/>
        <w:gridCol w:w="794"/>
        <w:gridCol w:w="737"/>
        <w:gridCol w:w="794"/>
        <w:gridCol w:w="850"/>
        <w:gridCol w:w="850"/>
        <w:gridCol w:w="794"/>
        <w:gridCol w:w="794"/>
        <w:gridCol w:w="850"/>
        <w:gridCol w:w="794"/>
        <w:gridCol w:w="829"/>
      </w:tblGrid>
      <w:tr w:rsidR="0029273D" w:rsidRPr="0029273D">
        <w:tc>
          <w:tcPr>
            <w:tcW w:w="567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пп</w:t>
            </w:r>
          </w:p>
        </w:tc>
        <w:tc>
          <w:tcPr>
            <w:tcW w:w="2835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Целевой индикатор и показатель (наименование)</w:t>
            </w:r>
          </w:p>
        </w:tc>
        <w:tc>
          <w:tcPr>
            <w:tcW w:w="964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086" w:type="dxa"/>
            <w:gridSpan w:val="10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Значения целевых индикаторов и показателей по годам</w:t>
            </w:r>
          </w:p>
        </w:tc>
      </w:tr>
      <w:tr w:rsidR="0029273D" w:rsidRPr="0029273D">
        <w:tc>
          <w:tcPr>
            <w:tcW w:w="567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2035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Удельный вес наркопреступлений в общем количестве </w:t>
            </w: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зарегистрированных преступных деяний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6,3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5,9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5,3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57,7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57,8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57,9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60,2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60,5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60,6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5,1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4,9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 xml:space="preserve">Доля больных наркоманией, привлеченных к мероприятиям медицинской и социальной реабилитации, в общем числе больных </w:t>
            </w: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наркоманией, пролеченных стационарно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38,1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38,3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38,4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38,5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39,0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</w:tr>
      <w:tr w:rsidR="0029273D" w:rsidRPr="0029273D">
        <w:tc>
          <w:tcPr>
            <w:tcW w:w="567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2835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9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процентов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737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12,2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12,5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12,6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12,8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12,9</w:t>
            </w:r>
          </w:p>
        </w:tc>
        <w:tc>
          <w:tcPr>
            <w:tcW w:w="85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13,0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13,5</w:t>
            </w:r>
          </w:p>
        </w:tc>
        <w:tc>
          <w:tcPr>
            <w:tcW w:w="829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14,0</w:t>
            </w:r>
          </w:p>
        </w:tc>
      </w:tr>
    </w:tbl>
    <w:p w:rsidR="00382730" w:rsidRPr="0029273D" w:rsidRDefault="00382730">
      <w:pPr>
        <w:rPr>
          <w:rFonts w:ascii="Times New Roman" w:hAnsi="Times New Roman" w:cs="Times New Roman"/>
          <w:color w:val="000000" w:themeColor="text1"/>
        </w:rPr>
        <w:sectPr w:rsidR="00382730" w:rsidRPr="002927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82730" w:rsidRPr="0029273D" w:rsidRDefault="00382730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Приложение N 2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к подпрограмме</w:t>
      </w:r>
      <w:r w:rsidR="003923BE" w:rsidRPr="0029273D">
        <w:rPr>
          <w:rFonts w:ascii="Times New Roman" w:hAnsi="Times New Roman" w:cs="Times New Roman"/>
          <w:color w:val="000000" w:themeColor="text1"/>
        </w:rPr>
        <w:t xml:space="preserve"> «</w:t>
      </w:r>
      <w:r w:rsidRPr="0029273D">
        <w:rPr>
          <w:rFonts w:ascii="Times New Roman" w:hAnsi="Times New Roman" w:cs="Times New Roman"/>
          <w:color w:val="000000" w:themeColor="text1"/>
        </w:rPr>
        <w:t>Профилактика незаконного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потребления наркотических средств,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психотропных веществ, новых потенциально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опасных психоактивных веществ, наркомании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и правонарушений, связанных с незаконным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оборотом наркотических средств, психотропных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веществ и новых потенциально опасных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психоактивных веществ в Канашском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  <w:r w:rsidRPr="0029273D">
        <w:rPr>
          <w:rFonts w:ascii="Times New Roman" w:hAnsi="Times New Roman" w:cs="Times New Roman"/>
          <w:color w:val="000000" w:themeColor="text1"/>
        </w:rPr>
        <w:t xml:space="preserve"> муниципальной программы</w:t>
      </w:r>
    </w:p>
    <w:p w:rsidR="00382730" w:rsidRPr="0029273D" w:rsidRDefault="003923BE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«</w:t>
      </w:r>
      <w:r w:rsidR="00382730" w:rsidRPr="0029273D">
        <w:rPr>
          <w:rFonts w:ascii="Times New Roman" w:hAnsi="Times New Roman" w:cs="Times New Roman"/>
          <w:color w:val="000000" w:themeColor="text1"/>
        </w:rPr>
        <w:t>Обеспечение общественного порядка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и противодействие преступности в Канашском районе</w:t>
      </w:r>
    </w:p>
    <w:p w:rsidR="00382730" w:rsidRPr="0029273D" w:rsidRDefault="0038273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  <w:r w:rsidRPr="0029273D">
        <w:rPr>
          <w:rFonts w:ascii="Times New Roman" w:hAnsi="Times New Roman" w:cs="Times New Roman"/>
          <w:color w:val="000000" w:themeColor="text1"/>
        </w:rPr>
        <w:t xml:space="preserve"> на 2019 - 2035 годы</w:t>
      </w: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82730" w:rsidRPr="0029273D" w:rsidRDefault="0038273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bookmarkStart w:id="9" w:name="P2479"/>
      <w:bookmarkEnd w:id="9"/>
    </w:p>
    <w:p w:rsidR="00D41D59" w:rsidRPr="0029273D" w:rsidRDefault="00D41D5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0" w:name="P2571"/>
      <w:bookmarkEnd w:id="10"/>
      <w:r w:rsidRPr="0029273D">
        <w:rPr>
          <w:rFonts w:ascii="Times New Roman" w:hAnsi="Times New Roman" w:cs="Times New Roman"/>
          <w:color w:val="000000" w:themeColor="text1"/>
        </w:rPr>
        <w:t>РЕСУРСНОЕ ОБЕСПЕЧЕНИЕ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 xml:space="preserve">РЕАЛИЗАЦИИ ПОДПРОГРАММЫ </w:t>
      </w:r>
      <w:r w:rsidR="003923BE" w:rsidRPr="0029273D">
        <w:rPr>
          <w:rFonts w:ascii="Times New Roman" w:hAnsi="Times New Roman" w:cs="Times New Roman"/>
          <w:color w:val="000000" w:themeColor="text1"/>
        </w:rPr>
        <w:t>«</w:t>
      </w:r>
      <w:r w:rsidRPr="0029273D">
        <w:rPr>
          <w:rFonts w:ascii="Times New Roman" w:hAnsi="Times New Roman" w:cs="Times New Roman"/>
          <w:color w:val="000000" w:themeColor="text1"/>
        </w:rPr>
        <w:t>ПРОФИЛАКТИКА НЕЗАКОННОГО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ПОТРЕБЛЕНИЯ НАРКОТИЧЕСКИХ СРЕДСТВ, ПСИХОТРОПНЫХ ВЕЩЕСТВ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И НОВЫХ ПОТЕНЦИАЛЬНО ОПАСНЫХ ПСИХОАКТИВНЫХ ВЕЩЕСТВ,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НАРКОМАНИИ ПРАВОНАРУШЕНИЙ, СВЯЗАННЫХ С НЕЗАКОННЫМ ОБОРОТОМ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НАРКОТИЧЕСКИХ СРЕДСТВ, ПСИХОТРОПНЫХ ВЕЩЕСТВ И НОВЫХ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ПОТЕНЦИАЛЬНО ОПАСНЫХ ПСИХОАКТИВНЫХ ВЕЩЕСТВ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В КАНАШСКОМ РАЙОНЕ 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r w:rsidR="003923BE" w:rsidRPr="0029273D">
        <w:rPr>
          <w:rFonts w:ascii="Times New Roman" w:hAnsi="Times New Roman" w:cs="Times New Roman"/>
          <w:color w:val="000000" w:themeColor="text1"/>
        </w:rPr>
        <w:t>«</w:t>
      </w:r>
      <w:r w:rsidRPr="0029273D">
        <w:rPr>
          <w:rFonts w:ascii="Times New Roman" w:hAnsi="Times New Roman" w:cs="Times New Roman"/>
          <w:color w:val="000000" w:themeColor="text1"/>
        </w:rPr>
        <w:t>ОБЕСПЕЧЕНИЕ ОБЩЕСТВЕННОГО ПОРЯДКА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И ПРОТИВОДЕЙСТВИЕ ПРЕСТУПНОСТИ В КАНАШСКОМ РАЙОНЕ</w:t>
      </w:r>
    </w:p>
    <w:p w:rsidR="00382730" w:rsidRPr="0029273D" w:rsidRDefault="0038273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ЧУВАШСКОЙ РЕСПУБЛИКИ</w:t>
      </w:r>
      <w:r w:rsidR="003923BE" w:rsidRPr="0029273D">
        <w:rPr>
          <w:rFonts w:ascii="Times New Roman" w:hAnsi="Times New Roman" w:cs="Times New Roman"/>
          <w:color w:val="000000" w:themeColor="text1"/>
        </w:rPr>
        <w:t>»</w:t>
      </w:r>
      <w:r w:rsidRPr="0029273D">
        <w:rPr>
          <w:rFonts w:ascii="Times New Roman" w:hAnsi="Times New Roman" w:cs="Times New Roman"/>
          <w:color w:val="000000" w:themeColor="text1"/>
        </w:rPr>
        <w:t xml:space="preserve"> НА 2019 - 2035 ГОДЫ</w:t>
      </w:r>
    </w:p>
    <w:p w:rsidR="00382730" w:rsidRPr="0029273D" w:rsidRDefault="00382730" w:rsidP="00D41D5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</w:rPr>
        <w:t>ЗА СЧЕТ ВСЕХ ИСТОЧНИКОВ ФИНАНСИРОВАНИЯ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231"/>
        <w:gridCol w:w="1020"/>
        <w:gridCol w:w="794"/>
        <w:gridCol w:w="1701"/>
        <w:gridCol w:w="604"/>
        <w:gridCol w:w="604"/>
        <w:gridCol w:w="604"/>
        <w:gridCol w:w="604"/>
        <w:gridCol w:w="604"/>
        <w:gridCol w:w="604"/>
        <w:gridCol w:w="664"/>
        <w:gridCol w:w="664"/>
        <w:gridCol w:w="664"/>
      </w:tblGrid>
      <w:tr w:rsidR="0029273D" w:rsidRPr="0029273D">
        <w:tc>
          <w:tcPr>
            <w:tcW w:w="1191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3231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 Чувашской Республики, подпрограммы муниципальной программы Канашского района Чувашской Республики,</w:t>
            </w:r>
          </w:p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основного мероприятия</w:t>
            </w:r>
          </w:p>
        </w:tc>
        <w:tc>
          <w:tcPr>
            <w:tcW w:w="1814" w:type="dxa"/>
            <w:gridSpan w:val="2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5616" w:type="dxa"/>
            <w:gridSpan w:val="9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Расходы по годам, тыс. рублей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главный распорядитель бюджетн</w:t>
            </w: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ых средств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целевая статья расход</w:t>
            </w: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ов</w:t>
            </w:r>
          </w:p>
        </w:tc>
        <w:tc>
          <w:tcPr>
            <w:tcW w:w="170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2026 - 2030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2031 - 2035</w:t>
            </w:r>
          </w:p>
        </w:tc>
      </w:tr>
      <w:tr w:rsidR="0029273D" w:rsidRPr="0029273D">
        <w:tc>
          <w:tcPr>
            <w:tcW w:w="1191" w:type="dxa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3231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29273D" w:rsidRPr="0029273D">
        <w:tc>
          <w:tcPr>
            <w:tcW w:w="1191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Подпрограмма</w:t>
            </w:r>
          </w:p>
        </w:tc>
        <w:tc>
          <w:tcPr>
            <w:tcW w:w="3231" w:type="dxa"/>
            <w:vMerge w:val="restart"/>
          </w:tcPr>
          <w:p w:rsidR="00382730" w:rsidRPr="0029273D" w:rsidRDefault="003923BE" w:rsidP="003923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82730" w:rsidRPr="0029273D">
              <w:rPr>
                <w:rFonts w:ascii="Times New Roman" w:hAnsi="Times New Roman" w:cs="Times New Roman"/>
                <w:color w:val="000000" w:themeColor="text1"/>
              </w:rPr>
              <w:t>Профилактика незаконного потребления наркотических средств, психотропных веществ и новых потенциально опасных психоактивных веществ наркомании и правонарушений, связанных с незаконным оборотом наркотических средств, психотропных веществ и новых потенциально опасных психоактивных веществ в Канашском районе Чувашской Республики</w:t>
            </w:r>
            <w:r w:rsidRPr="0029273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26,2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27,5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28,8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30,24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174,5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222,0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бюджет Канашского района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26,2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27,5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28,8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30,24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174,5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222,0</w:t>
            </w:r>
          </w:p>
        </w:tc>
      </w:tr>
      <w:tr w:rsidR="0029273D" w:rsidRPr="0029273D">
        <w:tc>
          <w:tcPr>
            <w:tcW w:w="1191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Основное мероприятие 1</w:t>
            </w:r>
          </w:p>
        </w:tc>
        <w:tc>
          <w:tcPr>
            <w:tcW w:w="3231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бюджет Канашского района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Основное мероприятие 2</w:t>
            </w:r>
          </w:p>
        </w:tc>
        <w:tc>
          <w:tcPr>
            <w:tcW w:w="3231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бюджет Канашского района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73D" w:rsidRPr="0029273D">
        <w:tc>
          <w:tcPr>
            <w:tcW w:w="1191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Основное мероприятие 3</w:t>
            </w:r>
          </w:p>
        </w:tc>
        <w:tc>
          <w:tcPr>
            <w:tcW w:w="3231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020" w:type="dxa"/>
            <w:vMerge w:val="restart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923BE" w:rsidRPr="0029273D" w:rsidRDefault="00392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923BE" w:rsidRPr="0029273D" w:rsidRDefault="00392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:rsidR="003923BE" w:rsidRPr="0029273D" w:rsidRDefault="00392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3923BE" w:rsidRPr="0029273D" w:rsidRDefault="00392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3923BE" w:rsidRPr="0029273D" w:rsidRDefault="00392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923BE" w:rsidRPr="0029273D" w:rsidRDefault="003923BE" w:rsidP="00155E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79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бюджет Канашского района Чувашской Республики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9273D" w:rsidRPr="0029273D">
        <w:tc>
          <w:tcPr>
            <w:tcW w:w="1191" w:type="dxa"/>
            <w:vMerge w:val="restart"/>
            <w:tcBorders>
              <w:left w:val="nil"/>
            </w:tcBorders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Основное мероприятие 4</w:t>
            </w:r>
          </w:p>
        </w:tc>
        <w:tc>
          <w:tcPr>
            <w:tcW w:w="3231" w:type="dxa"/>
            <w:vMerge w:val="restart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020" w:type="dxa"/>
            <w:vMerge w:val="restart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</w:tcPr>
          <w:p w:rsidR="00382730" w:rsidRPr="0029273D" w:rsidRDefault="0038273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бюджет Канашского района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26,2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27,5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28,8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30,24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174,5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222,0</w:t>
            </w:r>
          </w:p>
        </w:tc>
      </w:tr>
      <w:tr w:rsidR="0029273D" w:rsidRPr="0029273D">
        <w:tc>
          <w:tcPr>
            <w:tcW w:w="1191" w:type="dxa"/>
            <w:vMerge/>
            <w:tcBorders>
              <w:left w:val="nil"/>
            </w:tcBorders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382730" w:rsidRPr="0029273D" w:rsidRDefault="00382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82730" w:rsidRPr="0029273D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республиканский бюджет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0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64" w:type="dxa"/>
            <w:tcBorders>
              <w:right w:val="nil"/>
            </w:tcBorders>
          </w:tcPr>
          <w:p w:rsidR="00382730" w:rsidRPr="0029273D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273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382730" w:rsidRPr="0029273D" w:rsidRDefault="00382730">
      <w:pPr>
        <w:rPr>
          <w:rFonts w:ascii="Times New Roman" w:hAnsi="Times New Roman" w:cs="Times New Roman"/>
          <w:color w:val="000000" w:themeColor="text1"/>
        </w:rPr>
        <w:sectPr w:rsidR="00382730" w:rsidRPr="002927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2730" w:rsidRPr="0029273D" w:rsidRDefault="00382730" w:rsidP="00D41D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BD17CE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</w:t>
      </w:r>
    </w:p>
    <w:p w:rsidR="00D41D59" w:rsidRPr="0029273D" w:rsidRDefault="00D41D59" w:rsidP="00BD17CE">
      <w:pPr>
        <w:pStyle w:val="ConsPlusNormal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 «Обеспечение общественного    порядка и противодействие преступности в Канашском районе Чувашской Республики» на 2019 - 2035 годы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ПОДПРОГРАММА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«ПРЕДУПРЕЖДЕНИЕ ДЕТСКОЙ БЕСПРИЗОРНОСТИ, БЕЗНАДЗОРНОСТИ И ПРАВОНАРУШЕНИЙ НЕСОВЕРШЕННОЛЕТНИХ В КАНАШСКОМ РАЙОНЕ ЧУВАШСКОЙ РЕСПУБЛИКИ»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60"/>
        <w:gridCol w:w="5652"/>
      </w:tblGrid>
      <w:tr w:rsidR="0029273D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Соисполнители  подпрограммы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-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-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Канашского района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 администрации Канашского района, комиссия по делам несовершеннолетних и защите их прав при администрации Канашского района, сектор по физической культуре и спорту администрации Канашского района, сектор культуры и по делам архивов администрации Канашского района, сектор опеки и попечительства администрации Канашского района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ОМВД России по Канашскому району (по согласованию),  БУ «Канашская центральная районная больница им. Ф.Г. Григорьева» Минздрава Чувашии (по согласованию),  </w:t>
            </w:r>
            <w:r w:rsidR="00BD17CE" w:rsidRPr="00292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 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согласованию), Канашский межмуниципальный ФКУ УИИ УФСИН России по Чувашской Республике-Чувашии (по согласованию), сельские поселения (по согласованию)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успешной социализации (ресоциализации) несовершеннолетних, формирования у них правового самосознания</w:t>
            </w:r>
          </w:p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числа детей и подростков с асоциальным поведением; </w:t>
            </w:r>
          </w:p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Канашском районе Чувашской Республики, общественных 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роли органов исполнительной власти Чувашской Республики, органов местного самоуправления в Канашском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Целевой индикатор и показатель подпрограммы</w:t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2036 году предусматривается достижение следующего целевого индикатора и показателя:</w:t>
            </w:r>
          </w:p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преступлений, совершенных несовершеннолетними, в общем числе преступлений – 4,4 процента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2019–2035 годы: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этап – 2019–2025 годы;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этап – 2026–2030 годы;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этап – 2031–2035 годы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73D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прогнозируемые объемы финансирования реализации мероприятий подпрограммы в 2019–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2035 годах за счет республиканского бюджета Чувашской Республики составляют 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13062,9 тыс. рублей, в том числе: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2019 году – 621,6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2020 году – 687,3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2021 году – 693,9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2022 году – 683,0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2023 году – 683,0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2024 году – 743,6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2025 году – 761,0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2026–2030 годах – 3994,5 тыс. рублей;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2031–2035 годах – 4195,0 тыс. рублей</w:t>
            </w:r>
          </w:p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1D59" w:rsidRPr="0029273D" w:rsidTr="008B044C">
        <w:tc>
          <w:tcPr>
            <w:tcW w:w="1730" w:type="pct"/>
          </w:tcPr>
          <w:p w:rsidR="00D41D59" w:rsidRPr="0029273D" w:rsidRDefault="00D41D59" w:rsidP="00D41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96" w:type="pct"/>
          </w:tcPr>
          <w:p w:rsidR="00D41D59" w:rsidRPr="0029273D" w:rsidRDefault="00D41D59" w:rsidP="00D4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074" w:type="pct"/>
          </w:tcPr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оптимизация деятельности органов местного самоуправления в Канашском районе Чувашской Республики, общественных объединений в сфере профилактики безнадзорности и правонарушений несовершеннолетних;</w:t>
            </w:r>
          </w:p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числа несовершеннолетних с 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асоциальным поведением; </w:t>
            </w:r>
          </w:p>
          <w:p w:rsidR="00D41D59" w:rsidRPr="0029273D" w:rsidRDefault="00D41D59" w:rsidP="00D41D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детей в возрасте от 5 до 18 лет, охваченных дополнительным образованием;</w:t>
            </w:r>
          </w:p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D41D59" w:rsidRPr="0029273D" w:rsidRDefault="00D41D59" w:rsidP="00D41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Характеристика сферы реализации подпрограммы, описание основных проблем в указанной сфере и прогноз развития 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Целью подпрограммы является создание условий для успешной социализации (ресоциализации) несовершеннолетних, формирования у них правового самосознания.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снижение уровня безнадзорности, а также числа несовершеннолетних, совершивших преступления;</w:t>
      </w:r>
    </w:p>
    <w:p w:rsidR="00D41D59" w:rsidRPr="0029273D" w:rsidRDefault="00D41D59" w:rsidP="00D4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сокращение числа детей и подростков с асоциальным поведением; </w:t>
      </w:r>
    </w:p>
    <w:p w:rsidR="00D41D59" w:rsidRPr="0029273D" w:rsidRDefault="00D41D59" w:rsidP="00D4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эффективности взаимодействия органов исполнительной власти Чувашской Республики, органов местного самоуправления в Канашском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роли органов исполнительной власти Чувашской Республики, органов местного самоуправления в Канашском районе Чувашской Республики,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профилактики преступлений и противоправных действий, пропаганды здорового образа жизни среди несовершеннолетних, привлечения их к участию в противодействии незаконному обороту наркотиков на территории Канашского района</w:t>
      </w: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 исполнение решения Правительственной Комиссии по делам несовершеннолетних и защите их прав от 20 марта 2018 года № 3 </w:t>
      </w: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5 октября по 5 ноября 2018 года проводился месячник правовых знаний. </w:t>
      </w:r>
    </w:p>
    <w:p w:rsidR="00D41D59" w:rsidRPr="0029273D" w:rsidRDefault="00D41D59" w:rsidP="00D41D5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 с этим в образовательных учреждениях района с привлечением представителей субъектов профилактики, правоохранительных органов, общественности, организованы мероприятия, направленные на повышение правовой грамотности, разъяснение мер административной и уголовной ответственности  несовершеннолетних.</w:t>
      </w:r>
    </w:p>
    <w:p w:rsidR="00D41D59" w:rsidRPr="0029273D" w:rsidRDefault="00D41D59" w:rsidP="00D4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организации профилактической работы особое внимание уделяется на выявление несовершеннолетних, склонных к суицидам. В целях снижения детских потерь от неестественных причин ежегодно проводятся семинары с участковыми педиатрами и их медицинскими сестрами, а также с фельдшерами ФАП-ов, где обсуждается каждый случай потери от внешних причин, пути предотвращения подобных случаев в дальнейшем. Центром психолого-медико-социального сопровождения управления образования администрации Канашского района оказываются индивидуальная консультационная помощь родителям (законным </w:t>
      </w: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представителям) по имеющимся проблемам обучения и воспитания, разрешения актуальных жизненных и личностных проблем детей.  Семьям, в которых воспитываются несовершеннолетние дети, оказывается психолого-педагогическая и информационно-просветительская помощь.</w:t>
      </w:r>
    </w:p>
    <w:p w:rsidR="00D41D59" w:rsidRPr="0029273D" w:rsidRDefault="00D41D59" w:rsidP="00D4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предотвращения формирования суицидального поведения у детей на базе поликлиники БУ «Канашская ЦРБ им. Ф.Г. Григорьева» Минздравсоцразвития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Чувашии организована консультативная психиатрическая помощь, в школах и медицинских учреждениях вывешен телефон доверия для детей и их родителей, находящихся в трудной жизненной ситуации. Организован круглосуточный прием детей на базе реанимационного и детского отделений БУ «Канашская ЦРБ им. Ф.Г. Григорьева» Минздравсоцразвития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Чувашии для оказания экстренной помощи детям с суицидальными тенденциями.    В целях раннего выявления нервно-психических заболеваний у детей проводится ежегодная диспансеризация детского населения, в ходе которого осматриваются узкими специалистами, в том числе неврологом, а при необходимости - психиатром.</w:t>
      </w:r>
    </w:p>
    <w:p w:rsidR="00D41D59" w:rsidRPr="0029273D" w:rsidRDefault="00D41D59" w:rsidP="00D41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в образовательных учреждениях района изданы приказы «О мерах по усилению профилактической работы по предупреждению правонарушений несовершеннолетними обучающимися». На советах профилактики рассмотрены причины и условия, способствующие тенденции к увеличению в среде обучающихся числа массовых нарушений общественного порядка. Классным руководителям и преподавателям обществознания даны указания для принятия дополнительных мер по разъяснению обучающихся правовых последствий и ответственности за нарушение     общественного порядка. Проведены общешкольные линейки, беседы по группам классов с целью разъяснить правовые последствия и ответственность за нарушение общественного порядка, участие в несанкционированных массовых нарушениях. В школах работают педагоги-психологи, которые проводят работу по установлению доверительных отношений в молодежной среде. В школах  ежедневно ведется мониторинг за поведением и изменениях в поведении учащихся старших классов. В сельских поселениях силами педагогических коллективов проводятся рейды, направленные на выявление мест  скоплений молодёжи в вечернее время.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Канашском районе Чувашской Республики создана комиссия по делам несовершеннолетних и защите их прав при администрации Канашского района (далее- Комиссия). В рамках профилактики безнадзорности и правонарушений несовершеннолетних проводится работа по информационно-методической поддержке специалистов управления образования администрации Канашского района.</w:t>
      </w:r>
    </w:p>
    <w:p w:rsidR="00D41D59" w:rsidRPr="0029273D" w:rsidRDefault="00D41D59" w:rsidP="00D41D59">
      <w:pPr>
        <w:widowControl w:val="0"/>
        <w:pBdr>
          <w:bottom w:val="single" w:sz="4" w:space="29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Комиссией ежемесячно проводится подробный анализ состояния индивидуально-профилактической работы с несовершеннолетними и семьями, находящимися в трудной жизненной ситуации.</w:t>
      </w: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КДН и ЗП совместно с субъектами профилактики ведется индивидуальная поэтапная коррекционная работа с каждой семьей, с учетом ее потребностей, испытываемых трудностей, обстановки в семье. Целью является обеспечение социального благополучия, повышение педагогической культуры, создание в семье атмосферы взаимопонимания, уважения, избавление членов семьи от алкогольной зависимости. Основная задача – помочь члену семьи осознать проблему, которая мешает его нормальной жизнедеятельности, посредством использования методов социально-психологической, социально-педагогической, социально-юридической и других методов работы.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Приоритеты в сфере реализации подпрограммы, цели, задачи и показатели (индикаторы) достижения целей и решения задач, описание основных ожидаемых конченых результатов, срок реализации подпрограммы 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Подпрограмма реализуется в период с 2019 по 2035 год в три этапа: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этап – 2019–2025 годы;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этап – 2026–2030 годы;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этап – 2031–2035 годы.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 показателей (индикаторов) подпрограммы определен исходя из необходимости выполнения основных целей и задач подпрограммы и приведен в приложении №1 к настоящей подпрограмме.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выполнения поставленных целей и задач подпрограммы к 2035 году будет достигнут следующий показатель: число несовершеннолетних, совершивших преступления, в расчете на 1 тыс. несовершеннолетних в возрасте от 14 до 18 лет – с 5,1 до 4,4 человек.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Характеристика основных мероприятий подпрограммы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мероприятия подпрограммы направлены на реализацию поставленной цели и задач подпрограммы и муниципальной программы в целом. 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Подпрограмма объединяет два основных мероприятия: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в образовательных организациях работы по формированию законопослушного поведения обучающихся;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института общественных воспитателей несовершеннолетних;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принятие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с детьми, проходящими реабилитацию в учреждениях социального обслуживания семьи и детей, мероприятий по правовой тематике;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подготовку и издание информационных материалов по содействию занятости несовершеннолетних граждан в свободное от учебы время;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обеспечение на весь период летних каникул полного охвата организованными формами отдыха детей, их оздоровления и занятости детей путем привлечения к профилактической работе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 несовершеннолетних к занятиям в клубах по интересам в учреждениях социального обслуживания семьи и детей;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организацию профессиональной ориентации несовершеннолетних граждан, освободившихся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работы;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содействие в организации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содействие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 добровольцев и общественных воспитателей к социальному сопровождению несовершеннолетних;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прав.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мероприятий по выявлению фактов семейного неблагополучия на ранней стадии;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работы с семьями, находящимися в социально опасном положении, и оказание им помощи в обучении и воспитании детей;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семинаров-совещаний, круглых столов, конкурсов для лиц, ответственных за профилактическую работу;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единой базы данных о выявленных несовершеннолетних и семьях, находящихся в социально опасном положении.</w:t>
      </w:r>
    </w:p>
    <w:p w:rsidR="00D41D59" w:rsidRPr="0029273D" w:rsidRDefault="00D41D59" w:rsidP="00D41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Обоснование объема финансовых ресурсов, необходимых 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для реализации подпрограммы 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подпрограммы в 2019 - 2035 годах составит 13062,9 тыс. рублей из средств республиканского бюджета Чувашской Республики, в том числе: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2019 году – 621,6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2020 году – 687,3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2021 году – 693,9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2022 году – 683,0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2023 году – 683,0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2024 году – 743,6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2025 году – 761,0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2026–2030 годах – 3994,5 тыс. рублей;</w:t>
      </w:r>
    </w:p>
    <w:p w:rsidR="00D41D59" w:rsidRPr="0029273D" w:rsidRDefault="00D41D59" w:rsidP="00D41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2031–2035 годах – 4195,0 тыс. рублей</w:t>
      </w:r>
    </w:p>
    <w:p w:rsidR="00D41D59" w:rsidRPr="0029273D" w:rsidRDefault="00D41D59" w:rsidP="00D41D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ar444" w:history="1">
        <w:r w:rsidRPr="0029273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реализации           подпрограммы приведены в Приложении № 2.</w:t>
      </w:r>
    </w:p>
    <w:p w:rsidR="00D41D59" w:rsidRPr="0029273D" w:rsidRDefault="00D41D59" w:rsidP="00D41D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V. Анализ рисков реализации подпрограммы и описание</w:t>
      </w:r>
    </w:p>
    <w:p w:rsidR="00D41D59" w:rsidRPr="0029273D" w:rsidRDefault="00D41D59" w:rsidP="00D41D5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 управления рисками реализации подпрограммы</w:t>
      </w:r>
    </w:p>
    <w:p w:rsidR="00D41D59" w:rsidRPr="0029273D" w:rsidRDefault="00D41D59" w:rsidP="00D41D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p w:rsidR="00D41D59" w:rsidRPr="0029273D" w:rsidRDefault="00D41D59" w:rsidP="00D41D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D41D59" w:rsidRPr="0029273D" w:rsidRDefault="00D41D59" w:rsidP="00D41D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1. 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D41D59" w:rsidRPr="0029273D" w:rsidRDefault="00D41D59" w:rsidP="00D41D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республиканского бюджета Чувашской Республики, а также предусмотренные ею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>3.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1D59" w:rsidRPr="0029273D" w:rsidSect="008B044C">
          <w:pgSz w:w="11905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D41D59" w:rsidRPr="0029273D" w:rsidRDefault="00D41D59" w:rsidP="00D41D59">
      <w:pPr>
        <w:pStyle w:val="ConsPlusNormal"/>
        <w:tabs>
          <w:tab w:val="left" w:pos="4820"/>
        </w:tabs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Приложение № 1</w:t>
      </w:r>
    </w:p>
    <w:p w:rsidR="00D41D59" w:rsidRPr="0029273D" w:rsidRDefault="00D41D59" w:rsidP="00D41D59">
      <w:pPr>
        <w:pStyle w:val="ConsPlusNormal"/>
        <w:tabs>
          <w:tab w:val="left" w:pos="10206"/>
        </w:tabs>
        <w:ind w:left="9639" w:hanging="9072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к подпрограмме «Предупреждение детской                                                                                                           беспризорности и правонарушений                                                                                                                                                   несовершеннолетних в Канашском районе» </w:t>
      </w:r>
    </w:p>
    <w:p w:rsidR="00D41D59" w:rsidRPr="0029273D" w:rsidRDefault="00D41D59" w:rsidP="00D41D59">
      <w:pPr>
        <w:pStyle w:val="ConsPlusNormal"/>
        <w:tabs>
          <w:tab w:val="left" w:pos="9639"/>
          <w:tab w:val="left" w:pos="9923"/>
        </w:tabs>
        <w:ind w:left="9639" w:hanging="9072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муниципальной программы  «Обеспечение                                             общественного порядка и  противодействие преступности в Канашском районе Чувашской Республики» на 2019 - 2035 годы</w:t>
      </w:r>
    </w:p>
    <w:p w:rsidR="00D41D59" w:rsidRPr="0029273D" w:rsidRDefault="00D41D59" w:rsidP="00D41D59">
      <w:pPr>
        <w:pStyle w:val="ConsPlusNormal"/>
        <w:ind w:firstLine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D41D59" w:rsidRPr="0029273D" w:rsidRDefault="00D41D59" w:rsidP="00D41D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ПОКАЗАТЕЛЕ (ИНДИКАТОРЕ)</w:t>
      </w:r>
    </w:p>
    <w:p w:rsidR="00D41D59" w:rsidRPr="0029273D" w:rsidRDefault="00D41D59" w:rsidP="00D41D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подпрограммы «Предупреждение детской беспризорности и правонарушений несовершеннолетних в Канашском районе Чувашской Республики» муниципальной программы «Обеспечение общественного  порядка и  противодействие преступности в Канашском районе Чувашской Республики» на 2019 - 2035 годы  и о его значении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29273D" w:rsidRPr="0029273D" w:rsidTr="008B044C">
        <w:tc>
          <w:tcPr>
            <w:tcW w:w="146" w:type="pct"/>
            <w:vMerge w:val="restar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</w:t>
            </w:r>
          </w:p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3365" w:type="pct"/>
            <w:gridSpan w:val="10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29273D" w:rsidRPr="0029273D" w:rsidTr="008B044C">
        <w:tc>
          <w:tcPr>
            <w:tcW w:w="146" w:type="pct"/>
            <w:vMerge/>
            <w:shd w:val="clear" w:color="auto" w:fill="auto"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18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364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09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364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318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18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18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8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282" w:type="pct"/>
            <w:shd w:val="clear" w:color="auto" w:fill="auto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2035</w:t>
            </w:r>
          </w:p>
        </w:tc>
      </w:tr>
    </w:tbl>
    <w:p w:rsidR="00D41D59" w:rsidRPr="0029273D" w:rsidRDefault="00D41D59" w:rsidP="00D41D59">
      <w:pPr>
        <w:widowControl w:val="0"/>
        <w:suppressAutoHyphens/>
        <w:spacing w:line="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10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3107"/>
        <w:gridCol w:w="1403"/>
        <w:gridCol w:w="1060"/>
        <w:gridCol w:w="951"/>
        <w:gridCol w:w="1089"/>
        <w:gridCol w:w="1224"/>
        <w:gridCol w:w="1089"/>
        <w:gridCol w:w="951"/>
        <w:gridCol w:w="951"/>
        <w:gridCol w:w="951"/>
        <w:gridCol w:w="951"/>
        <w:gridCol w:w="843"/>
      </w:tblGrid>
      <w:tr w:rsidR="0029273D" w:rsidRPr="0029273D" w:rsidTr="008B044C">
        <w:trPr>
          <w:tblHeader/>
        </w:trPr>
        <w:tc>
          <w:tcPr>
            <w:tcW w:w="145" w:type="pct"/>
            <w:tcBorders>
              <w:lef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5" w:type="pct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3" w:type="pct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7" w:type="pct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3" w:type="pct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8" w:type="pct"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7" w:type="pct"/>
            <w:tcBorders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7" w:type="pct"/>
            <w:tcBorders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7" w:type="pct"/>
            <w:tcBorders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9273D" w:rsidRPr="0029273D" w:rsidTr="008B044C">
        <w:trPr>
          <w:tblHeader/>
        </w:trPr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59" w:rsidRPr="0029273D" w:rsidRDefault="00D41D59" w:rsidP="008B0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</w:tbl>
    <w:p w:rsidR="00D41D59" w:rsidRPr="0029273D" w:rsidRDefault="00D41D59" w:rsidP="00D41D59">
      <w:pPr>
        <w:ind w:firstLine="93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tabs>
          <w:tab w:val="left" w:pos="4820"/>
        </w:tabs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Приложение № 2</w:t>
      </w:r>
    </w:p>
    <w:p w:rsidR="00D41D59" w:rsidRPr="0029273D" w:rsidRDefault="00D41D59" w:rsidP="00D41D59">
      <w:pPr>
        <w:pStyle w:val="ConsPlusNormal"/>
        <w:tabs>
          <w:tab w:val="left" w:pos="10206"/>
        </w:tabs>
        <w:ind w:left="9639" w:hanging="9072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к подпрограмме «Предупреждение детской                                                                                                           беспризорности и правонарушений                                                                                                                                                   несовершеннолетних в Канашском районе» </w:t>
      </w:r>
    </w:p>
    <w:p w:rsidR="00D41D59" w:rsidRPr="0029273D" w:rsidRDefault="00D41D59" w:rsidP="00D41D59">
      <w:pPr>
        <w:pStyle w:val="ConsPlusNormal"/>
        <w:tabs>
          <w:tab w:val="left" w:pos="9639"/>
          <w:tab w:val="left" w:pos="9923"/>
        </w:tabs>
        <w:ind w:left="9639" w:hanging="9072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муниципальной программы  «Обеспечение                                             общественного порядка и  противодействие преступности в Канашском районе Чувашской Республики» на 2019 - 2035 годы</w:t>
      </w: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РЕСУРСНОЕ ОБЕСПЕЧЕНИЕ</w:t>
      </w:r>
    </w:p>
    <w:p w:rsidR="00D41D59" w:rsidRPr="0029273D" w:rsidRDefault="00D41D59" w:rsidP="00D41D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реализации подпрограммы </w:t>
      </w:r>
      <w:r w:rsidRPr="00292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2927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Предупреждение детской беспризорности и правонарушений несовершеннолетних» муниципальной программы «Обеспечение общественного порядка и  противодействие преступности в Канашском районе Чувашской Республики» на 2019 - 2035 годы»  за счет всех источников финансирования</w:t>
      </w:r>
    </w:p>
    <w:p w:rsidR="00D41D59" w:rsidRPr="0029273D" w:rsidRDefault="00D41D59" w:rsidP="00D41D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05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2578"/>
        <w:gridCol w:w="861"/>
        <w:gridCol w:w="839"/>
        <w:gridCol w:w="2249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29273D" w:rsidRPr="0029273D" w:rsidTr="008B044C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программы Чувашской Республики, подпрограммы муниципальной программы Канашского района Чувашской Республики, </w:t>
            </w:r>
          </w:p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</w:t>
            </w:r>
          </w:p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по годам, тыс. рублей</w:t>
            </w:r>
          </w:p>
        </w:tc>
      </w:tr>
      <w:tr w:rsidR="0029273D" w:rsidRPr="0029273D" w:rsidTr="008B044C">
        <w:tc>
          <w:tcPr>
            <w:tcW w:w="1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 распорядитель бюджетных средст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целевая статья расходов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2026–2030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2031–2035</w:t>
            </w:r>
          </w:p>
        </w:tc>
      </w:tr>
    </w:tbl>
    <w:p w:rsidR="00D41D59" w:rsidRPr="0029273D" w:rsidRDefault="00D41D59" w:rsidP="00D41D59">
      <w:pPr>
        <w:widowControl w:val="0"/>
        <w:suppressAutoHyphens/>
        <w:spacing w:line="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35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2578"/>
        <w:gridCol w:w="861"/>
        <w:gridCol w:w="839"/>
        <w:gridCol w:w="2249"/>
        <w:gridCol w:w="720"/>
        <w:gridCol w:w="720"/>
        <w:gridCol w:w="720"/>
        <w:gridCol w:w="720"/>
        <w:gridCol w:w="720"/>
        <w:gridCol w:w="720"/>
        <w:gridCol w:w="720"/>
        <w:gridCol w:w="840"/>
        <w:gridCol w:w="570"/>
      </w:tblGrid>
      <w:tr w:rsidR="0029273D" w:rsidRPr="0029273D" w:rsidTr="008B044C">
        <w:trPr>
          <w:tblHeader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«Предупреждение детской беспризорности, безнадзорности и правонарушений несовершеннолетних в Канашском районе Чувашской Республики»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3994,5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4195,0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3994,5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4195,0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3993,5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4193,0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3993,5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4193,0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мероприятие 2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с семьями, </w:t>
            </w: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 w:rsidTr="008B044C">
        <w:trPr>
          <w:trHeight w:val="797"/>
          <w:tblHeader/>
        </w:trPr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9273D" w:rsidRPr="0029273D" w:rsidTr="008B044C">
        <w:trPr>
          <w:tblHeader/>
        </w:trPr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D59" w:rsidRPr="0029273D" w:rsidRDefault="00D41D59" w:rsidP="008B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Канашского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41D59" w:rsidRPr="0029273D" w:rsidRDefault="00D41D59" w:rsidP="008B04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D41D59" w:rsidRPr="0029273D" w:rsidRDefault="00D41D59" w:rsidP="00D41D59">
      <w:pPr>
        <w:autoSpaceDE w:val="0"/>
        <w:autoSpaceDN w:val="0"/>
        <w:adjustRightInd w:val="0"/>
        <w:ind w:left="102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autoSpaceDE w:val="0"/>
        <w:autoSpaceDN w:val="0"/>
        <w:adjustRightInd w:val="0"/>
        <w:ind w:left="102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ind w:firstLine="93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D59" w:rsidRPr="0029273D" w:rsidRDefault="00D41D59" w:rsidP="00D41D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1D59" w:rsidRPr="0029273D" w:rsidSect="00D41D59">
          <w:pgSz w:w="16838" w:h="11905" w:orient="landscape" w:code="9"/>
          <w:pgMar w:top="1985" w:right="1134" w:bottom="851" w:left="1134" w:header="709" w:footer="709" w:gutter="0"/>
          <w:cols w:space="708"/>
          <w:docGrid w:linePitch="360"/>
        </w:sectPr>
      </w:pPr>
    </w:p>
    <w:p w:rsidR="00D41D59" w:rsidRPr="0029273D" w:rsidRDefault="00D41D59" w:rsidP="00D41D59">
      <w:pPr>
        <w:pStyle w:val="ConsPlusNormal"/>
        <w:tabs>
          <w:tab w:val="left" w:pos="4820"/>
          <w:tab w:val="left" w:pos="9639"/>
        </w:tabs>
        <w:ind w:firstLine="567"/>
        <w:outlineLvl w:val="1"/>
        <w:rPr>
          <w:color w:val="000000" w:themeColor="text1"/>
        </w:rPr>
      </w:pPr>
      <w:r w:rsidRPr="0029273D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C221E5" w:rsidRPr="0029273D" w:rsidRDefault="00C221E5" w:rsidP="00D41D59">
      <w:pPr>
        <w:pStyle w:val="ConsPlusNormal"/>
        <w:jc w:val="right"/>
        <w:outlineLvl w:val="1"/>
        <w:rPr>
          <w:color w:val="000000" w:themeColor="text1"/>
        </w:rPr>
      </w:pPr>
    </w:p>
    <w:sectPr w:rsidR="00C221E5" w:rsidRPr="0029273D" w:rsidSect="00D41D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30"/>
    <w:rsid w:val="00023BDF"/>
    <w:rsid w:val="00025F6D"/>
    <w:rsid w:val="00041311"/>
    <w:rsid w:val="000A4DDA"/>
    <w:rsid w:val="001478BF"/>
    <w:rsid w:val="00155E3C"/>
    <w:rsid w:val="001736E5"/>
    <w:rsid w:val="001A575E"/>
    <w:rsid w:val="001C2E6D"/>
    <w:rsid w:val="00261171"/>
    <w:rsid w:val="0029273D"/>
    <w:rsid w:val="002A70C6"/>
    <w:rsid w:val="002B27D2"/>
    <w:rsid w:val="002B429C"/>
    <w:rsid w:val="002B7CCC"/>
    <w:rsid w:val="0037494E"/>
    <w:rsid w:val="00382730"/>
    <w:rsid w:val="003923BE"/>
    <w:rsid w:val="00476C5C"/>
    <w:rsid w:val="004B4A61"/>
    <w:rsid w:val="0051128D"/>
    <w:rsid w:val="0065374D"/>
    <w:rsid w:val="00671AB5"/>
    <w:rsid w:val="00695CE9"/>
    <w:rsid w:val="0073217E"/>
    <w:rsid w:val="007C6C2E"/>
    <w:rsid w:val="0081077F"/>
    <w:rsid w:val="00822AB6"/>
    <w:rsid w:val="00834C3D"/>
    <w:rsid w:val="00861E98"/>
    <w:rsid w:val="008722B7"/>
    <w:rsid w:val="008B044C"/>
    <w:rsid w:val="008E69A4"/>
    <w:rsid w:val="0090319E"/>
    <w:rsid w:val="00A122B0"/>
    <w:rsid w:val="00A466C2"/>
    <w:rsid w:val="00AA44AF"/>
    <w:rsid w:val="00BD0DAE"/>
    <w:rsid w:val="00BD17CE"/>
    <w:rsid w:val="00BF6DFC"/>
    <w:rsid w:val="00C221E5"/>
    <w:rsid w:val="00C62799"/>
    <w:rsid w:val="00C85C88"/>
    <w:rsid w:val="00CE1A74"/>
    <w:rsid w:val="00D41D59"/>
    <w:rsid w:val="00D707C1"/>
    <w:rsid w:val="00DE5CDB"/>
    <w:rsid w:val="00DF1D86"/>
    <w:rsid w:val="00E20856"/>
    <w:rsid w:val="00E94763"/>
    <w:rsid w:val="00F12DB8"/>
    <w:rsid w:val="00F66024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F5B3B-EEFB-40C2-A720-76CA13A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766E6F93E3950A3B8F317569EF1EE146258AA095F181BB4F0A65E6531A03EAE351A366FB840B1EC9AB933F95638AEC429CEF4472C71A6D1642243Ak0N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766E6F93E3950A3B8F317569EF1EE146258AA095F181BC430865E6531A03EAE351A366FB840B1EC9A9933B93638AEC429CEF4472C71A6D1642243Ak0N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B140-B33C-46BF-AFD4-986CD42A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22242</Words>
  <Characters>126782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Татьяна Геннадьевна</dc:creator>
  <cp:keywords/>
  <dc:description/>
  <cp:lastModifiedBy>Администратор</cp:lastModifiedBy>
  <cp:revision>34</cp:revision>
  <cp:lastPrinted>2021-01-25T13:47:00Z</cp:lastPrinted>
  <dcterms:created xsi:type="dcterms:W3CDTF">2020-12-11T08:48:00Z</dcterms:created>
  <dcterms:modified xsi:type="dcterms:W3CDTF">2021-02-17T07:42:00Z</dcterms:modified>
</cp:coreProperties>
</file>