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D26A87" w:rsidTr="009727EB">
        <w:tc>
          <w:tcPr>
            <w:tcW w:w="3794" w:type="dxa"/>
          </w:tcPr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>Чёваш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Республики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12"/>
                <w:szCs w:val="12"/>
                <w:lang w:eastAsia="zh-CN" w:bidi="ar-SA"/>
              </w:rPr>
            </w:pP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Елч</w:t>
            </w:r>
            <w:proofErr w:type="gram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.к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муниципаллё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округ</w:t>
            </w:r>
            <w:proofErr w:type="gram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.н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депутатсен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Пухёв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.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16"/>
                <w:szCs w:val="16"/>
                <w:lang w:eastAsia="zh-CN" w:bidi="ar-SA"/>
              </w:rPr>
            </w:pP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 Cyr Chuv" w:eastAsia="Times New Roman" w:hAnsi="Arial Cyr Chuv" w:cs="Arial Cyr Chuv"/>
                <w:b/>
                <w:kern w:val="0"/>
                <w:sz w:val="26"/>
                <w:szCs w:val="20"/>
                <w:lang w:eastAsia="zh-CN" w:bidi="ar-SA"/>
              </w:rPr>
              <w:t>ЙЫШЁНУ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kern w:val="0"/>
                <w:sz w:val="16"/>
                <w:szCs w:val="20"/>
                <w:lang w:eastAsia="zh-CN" w:bidi="ar-SA"/>
              </w:rPr>
            </w:pPr>
          </w:p>
          <w:p w:rsidR="00D26A87" w:rsidRPr="004067D5" w:rsidRDefault="00D26A87" w:rsidP="009727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</w:pPr>
            <w:r w:rsidRPr="004067D5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 xml:space="preserve">2022 =? </w:t>
            </w:r>
            <w:proofErr w:type="spellStart"/>
            <w:r w:rsidRPr="004067D5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>декабр</w:t>
            </w:r>
            <w:proofErr w:type="gramStart"/>
            <w:r w:rsidRPr="004067D5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>.н</w:t>
            </w:r>
            <w:proofErr w:type="spellEnd"/>
            <w:proofErr w:type="gramEnd"/>
            <w:r w:rsidRPr="004067D5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 xml:space="preserve"> 29 -</w:t>
            </w:r>
            <w:proofErr w:type="spellStart"/>
            <w:r w:rsidRPr="004067D5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>м.ш</w:t>
            </w:r>
            <w:proofErr w:type="spellEnd"/>
            <w:r w:rsidRPr="004067D5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 xml:space="preserve">. № </w:t>
            </w:r>
            <w:r w:rsidRPr="004067D5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 xml:space="preserve"> </w:t>
            </w:r>
            <w:r w:rsidR="004067D5" w:rsidRPr="004067D5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>8/3</w:t>
            </w:r>
            <w:r w:rsidR="004067D5" w:rsidRPr="004067D5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>-с</w:t>
            </w:r>
          </w:p>
          <w:p w:rsidR="00D26A87" w:rsidRPr="004067D5" w:rsidRDefault="00D26A87" w:rsidP="009727E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</w:pP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 w:rsidRPr="004067D5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>Елч</w:t>
            </w:r>
            <w:proofErr w:type="gramStart"/>
            <w:r w:rsidRPr="004067D5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>.к</w:t>
            </w:r>
            <w:proofErr w:type="spellEnd"/>
            <w:proofErr w:type="gramEnd"/>
            <w:r w:rsidRPr="004067D5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 xml:space="preserve"> ял.</w:t>
            </w:r>
          </w:p>
        </w:tc>
        <w:tc>
          <w:tcPr>
            <w:tcW w:w="1984" w:type="dxa"/>
          </w:tcPr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zh-CN" w:bidi="ar-SA"/>
              </w:rPr>
            </w:pP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kern w:val="0"/>
                <w:sz w:val="26"/>
                <w:szCs w:val="26"/>
                <w:lang w:eastAsia="zh-CN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D26A87" w:rsidRPr="00772AF4" w:rsidRDefault="00D26A87" w:rsidP="009727EB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    </w:t>
            </w:r>
            <w:r w:rsidR="004067D5"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</w:t>
            </w: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>Чувашская  Республика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12"/>
                <w:szCs w:val="12"/>
                <w:lang w:eastAsia="zh-CN" w:bidi="ar-SA"/>
              </w:rPr>
            </w:pP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Собрание депутатов 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>Яльчикского</w:t>
            </w:r>
            <w:proofErr w:type="spellEnd"/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>муниципального округа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16"/>
                <w:szCs w:val="16"/>
                <w:lang w:eastAsia="zh-CN" w:bidi="ar-SA"/>
              </w:rPr>
            </w:pPr>
          </w:p>
          <w:p w:rsidR="00D26A87" w:rsidRDefault="00D26A87" w:rsidP="009727EB">
            <w:pPr>
              <w:keepNext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kern w:val="0"/>
                <w:sz w:val="28"/>
                <w:szCs w:val="20"/>
                <w:lang w:val="x-none"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kern w:val="0"/>
                <w:sz w:val="26"/>
                <w:szCs w:val="20"/>
                <w:lang w:eastAsia="ru-RU" w:bidi="ar-SA"/>
              </w:rPr>
              <w:t>РЕШЕНИЕ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rPr>
                <w:rFonts w:ascii="Times New Roman Chuv" w:eastAsia="Times New Roman" w:hAnsi="Times New Roman Chuv" w:cs="Times New Roman Chuv"/>
                <w:b/>
                <w:kern w:val="0"/>
                <w:sz w:val="16"/>
                <w:szCs w:val="16"/>
                <w:lang w:eastAsia="ru-RU" w:bidi="ar-SA"/>
              </w:rPr>
            </w:pPr>
          </w:p>
          <w:p w:rsidR="00D26A87" w:rsidRPr="004067D5" w:rsidRDefault="004067D5" w:rsidP="009727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 xml:space="preserve">       « 29» декабря 2022 г. №</w:t>
            </w:r>
            <w:r w:rsidR="00D26A87" w:rsidRPr="004067D5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 xml:space="preserve"> </w:t>
            </w:r>
            <w:r w:rsidRPr="004067D5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>8/3</w:t>
            </w:r>
            <w:r w:rsidRPr="004067D5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>-с</w:t>
            </w:r>
            <w:r w:rsidR="00D26A87" w:rsidRPr="004067D5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  <w:p w:rsidR="00D26A87" w:rsidRPr="004067D5" w:rsidRDefault="00D26A87" w:rsidP="009727E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</w:pP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 w:rsidRPr="004067D5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>село Яльчики</w:t>
            </w:r>
          </w:p>
        </w:tc>
      </w:tr>
    </w:tbl>
    <w:p w:rsidR="009A37AD" w:rsidRDefault="009A37AD"/>
    <w:p w:rsidR="006D6B68" w:rsidRPr="004067D5" w:rsidRDefault="006D6B68" w:rsidP="006D6B68">
      <w:pPr>
        <w:suppressAutoHyphens w:val="0"/>
        <w:ind w:right="540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4067D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Об утверждении Положения о комиссии по  соблюдению требований к служебному  поведению лиц, замещающих муниципальные должности в </w:t>
      </w:r>
      <w:proofErr w:type="spellStart"/>
      <w:r w:rsidRPr="004067D5">
        <w:rPr>
          <w:rFonts w:eastAsia="Times New Roman" w:cs="Times New Roman"/>
          <w:kern w:val="0"/>
          <w:sz w:val="26"/>
          <w:szCs w:val="26"/>
          <w:lang w:eastAsia="ru-RU" w:bidi="ar-SA"/>
        </w:rPr>
        <w:t>Яльчикском</w:t>
      </w:r>
      <w:proofErr w:type="spellEnd"/>
      <w:r w:rsidRPr="004067D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муниципальном округе Чувашской Республики, и урегулированию конфликта интересов </w:t>
      </w:r>
    </w:p>
    <w:p w:rsidR="003D16D9" w:rsidRPr="004067D5" w:rsidRDefault="006D6B68">
      <w:pPr>
        <w:rPr>
          <w:rFonts w:cs="Times New Roman"/>
          <w:sz w:val="26"/>
          <w:szCs w:val="26"/>
        </w:rPr>
      </w:pPr>
      <w:r w:rsidRPr="004067D5">
        <w:rPr>
          <w:rFonts w:cs="Times New Roman"/>
          <w:sz w:val="26"/>
          <w:szCs w:val="26"/>
        </w:rPr>
        <w:t xml:space="preserve"> </w:t>
      </w:r>
    </w:p>
    <w:p w:rsidR="003D16D9" w:rsidRPr="004067D5" w:rsidRDefault="003D16D9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4067D5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 xml:space="preserve"> </w:t>
      </w:r>
    </w:p>
    <w:p w:rsidR="003D16D9" w:rsidRPr="003D16D9" w:rsidRDefault="003D16D9" w:rsidP="006D6B68">
      <w:pPr>
        <w:widowControl w:val="0"/>
        <w:suppressAutoHyphens w:val="0"/>
        <w:autoSpaceDE w:val="0"/>
        <w:autoSpaceDN w:val="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proofErr w:type="gramStart"/>
      <w:r w:rsidRPr="004067D5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В соответствии с федеральными законами от 6 октября 2003 г. </w:t>
      </w:r>
      <w:hyperlink r:id="rId7">
        <w:r w:rsidRPr="004067D5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N 131-ФЗ</w:t>
        </w:r>
      </w:hyperlink>
      <w:r w:rsidRPr="004067D5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"Об общих принципах организации</w:t>
      </w: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местного самоуправления в Российской Федерации" и от 25 декабря 2008 г. </w:t>
      </w:r>
      <w:hyperlink r:id="rId8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N 273-ФЗ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"О противодействии коррупции", указами Президента Российской Федерации от 1 июля 2010 г. </w:t>
      </w:r>
      <w:hyperlink r:id="rId9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N 821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и от</w:t>
      </w:r>
      <w:proofErr w:type="gram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22 декабря 2015 г. </w:t>
      </w:r>
      <w:hyperlink r:id="rId10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N 650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11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постановлением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Кабинета Министров Чувашской Республики от 23 мая 2012 г. N</w:t>
      </w:r>
      <w:proofErr w:type="gram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191 "О порядке образования комиссий по соблюдению требований к служебному поведению муниципальных служащих и урегулированию конфликта интересов", </w:t>
      </w:r>
      <w:hyperlink r:id="rId12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Уставом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 Собрание депутатов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решило:</w:t>
      </w:r>
    </w:p>
    <w:p w:rsidR="003D16D9" w:rsidRPr="003D16D9" w:rsidRDefault="006D6B68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1</w:t>
      </w:r>
      <w:r w:rsidR="003D16D9"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. Утвердить прилагаемое </w:t>
      </w:r>
      <w:hyperlink w:anchor="P40">
        <w:r w:rsidR="003D16D9"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Положение</w:t>
        </w:r>
      </w:hyperlink>
      <w:r w:rsidR="003D16D9"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о комиссии по соблюдению требований к служебному поведению лиц, замещающих муниципальные должности в </w:t>
      </w:r>
      <w:proofErr w:type="spellStart"/>
      <w:r w:rsidR="003D16D9"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Яльчикском</w:t>
      </w:r>
      <w:proofErr w:type="spellEnd"/>
      <w:r w:rsidR="003D16D9"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муниципальном округе Чувашской Республики, и урегулированию конфликта интересов.</w:t>
      </w:r>
    </w:p>
    <w:p w:rsidR="003D16D9" w:rsidRPr="003D16D9" w:rsidRDefault="006D6B68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D1181F">
        <w:rPr>
          <w:rFonts w:eastAsiaTheme="minorEastAsia" w:cs="Times New Roman"/>
          <w:kern w:val="0"/>
          <w:sz w:val="26"/>
          <w:szCs w:val="26"/>
          <w:lang w:eastAsia="ru-RU" w:bidi="ar-SA"/>
        </w:rPr>
        <w:t>2</w:t>
      </w:r>
      <w:r w:rsidR="003D16D9" w:rsidRPr="00D1181F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. Признать утратившим силу </w:t>
      </w:r>
      <w:hyperlink r:id="rId13">
        <w:r w:rsidR="003D16D9" w:rsidRPr="00D1181F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решение</w:t>
        </w:r>
      </w:hyperlink>
      <w:r w:rsidR="003D16D9" w:rsidRPr="00D1181F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Собрания депутатов </w:t>
      </w:r>
      <w:proofErr w:type="spellStart"/>
      <w:r w:rsidR="003D16D9" w:rsidRPr="00D1181F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="003D16D9" w:rsidRPr="00D1181F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="00D1181F" w:rsidRPr="00D1181F">
        <w:rPr>
          <w:rFonts w:eastAsiaTheme="minorEastAsia" w:cs="Times New Roman"/>
          <w:kern w:val="0"/>
          <w:sz w:val="26"/>
          <w:szCs w:val="26"/>
          <w:lang w:eastAsia="ru-RU" w:bidi="ar-SA"/>
        </w:rPr>
        <w:t>района</w:t>
      </w:r>
      <w:r w:rsidR="003D16D9" w:rsidRPr="00D1181F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Чувашской Республики от </w:t>
      </w:r>
      <w:r w:rsidR="00D1181F" w:rsidRPr="00D1181F">
        <w:rPr>
          <w:rFonts w:eastAsiaTheme="minorEastAsia" w:cs="Times New Roman"/>
          <w:kern w:val="0"/>
          <w:sz w:val="26"/>
          <w:szCs w:val="26"/>
          <w:lang w:eastAsia="ru-RU" w:bidi="ar-SA"/>
        </w:rPr>
        <w:t>12.12.2017</w:t>
      </w:r>
      <w:r w:rsidR="003D16D9" w:rsidRPr="00D1181F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N С-</w:t>
      </w:r>
      <w:r w:rsidR="00D1181F" w:rsidRPr="00D1181F">
        <w:rPr>
          <w:rFonts w:eastAsiaTheme="minorEastAsia" w:cs="Times New Roman"/>
          <w:kern w:val="0"/>
          <w:sz w:val="26"/>
          <w:szCs w:val="26"/>
          <w:lang w:eastAsia="ru-RU" w:bidi="ar-SA"/>
        </w:rPr>
        <w:t>20/7-с</w:t>
      </w:r>
      <w:r w:rsidR="003D16D9" w:rsidRPr="00D1181F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"О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</w:t>
      </w:r>
      <w:r w:rsidR="003D16D9" w:rsidRPr="00D1181F">
        <w:rPr>
          <w:rFonts w:eastAsiaTheme="minorEastAsia" w:cs="Times New Roman"/>
          <w:kern w:val="0"/>
          <w:sz w:val="26"/>
          <w:szCs w:val="26"/>
          <w:lang w:eastAsia="ru-RU" w:bidi="ar-SA"/>
        </w:rPr>
        <w:lastRenderedPageBreak/>
        <w:t xml:space="preserve">конфликта интересов в </w:t>
      </w:r>
      <w:r w:rsidR="00D1181F" w:rsidRPr="00D1181F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органах местного самоуправления </w:t>
      </w:r>
      <w:proofErr w:type="spellStart"/>
      <w:r w:rsidR="00D1181F" w:rsidRPr="00D1181F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="00D1181F" w:rsidRPr="00D1181F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района</w:t>
      </w:r>
      <w:r w:rsidR="003D16D9" w:rsidRPr="00D1181F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Чувашской Республики".</w:t>
      </w:r>
    </w:p>
    <w:p w:rsidR="003D16D9" w:rsidRPr="003D16D9" w:rsidRDefault="006D6B68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3</w:t>
      </w:r>
      <w:r w:rsidR="003D16D9"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. </w:t>
      </w:r>
      <w:proofErr w:type="gramStart"/>
      <w:r w:rsidR="003D16D9"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Контроль за</w:t>
      </w:r>
      <w:proofErr w:type="gramEnd"/>
      <w:r w:rsidR="003D16D9"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исполнением настоящего решения возложить на постоянную комиссию </w:t>
      </w:r>
      <w:r w:rsidR="003D16D9">
        <w:rPr>
          <w:rFonts w:cs="Times New Roman"/>
          <w:sz w:val="26"/>
          <w:szCs w:val="26"/>
        </w:rPr>
        <w:t>по укреплению законности, правопорядка, развитию местного самоуправления и депутатской этике</w:t>
      </w:r>
      <w:r w:rsidR="003D16D9">
        <w:rPr>
          <w:rFonts w:cs="Times New Roman"/>
          <w:color w:val="000000"/>
          <w:sz w:val="26"/>
          <w:szCs w:val="26"/>
        </w:rPr>
        <w:t xml:space="preserve"> </w:t>
      </w:r>
      <w:r w:rsidR="003D16D9"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Собрания депутатов </w:t>
      </w:r>
      <w:proofErr w:type="spellStart"/>
      <w:r w:rsidR="003D16D9"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="003D16D9"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Республики.</w:t>
      </w:r>
    </w:p>
    <w:p w:rsidR="003D16D9" w:rsidRDefault="006D6B68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4</w:t>
      </w:r>
      <w:r w:rsidR="003D16D9"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. Настоящее решение вступает в силу после его официального опубликования в информационном </w:t>
      </w:r>
      <w:r w:rsid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бюллетене</w:t>
      </w:r>
      <w:r w:rsidR="003D16D9"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"Вестник </w:t>
      </w:r>
      <w:proofErr w:type="spellStart"/>
      <w:r w:rsidR="003D16D9"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="003D16D9"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района".</w:t>
      </w:r>
    </w:p>
    <w:p w:rsidR="004067D5" w:rsidRDefault="004067D5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4067D5" w:rsidRPr="003D16D9" w:rsidRDefault="004067D5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Председатель Собрания депутатов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Чувашской Республики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                                                               </w:t>
      </w:r>
      <w:proofErr w:type="spellStart"/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В.В.Сядуков</w:t>
      </w:r>
      <w:proofErr w:type="spellEnd"/>
    </w:p>
    <w:p w:rsidR="004067D5" w:rsidRDefault="004067D5" w:rsidP="003D16D9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3D16D9" w:rsidRDefault="003D16D9" w:rsidP="003D16D9">
      <w:pPr>
        <w:widowControl w:val="0"/>
        <w:suppressAutoHyphens w:val="0"/>
        <w:autoSpaceDE w:val="0"/>
        <w:autoSpaceDN w:val="0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Глава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муниципального</w:t>
      </w:r>
      <w:proofErr w:type="gramEnd"/>
    </w:p>
    <w:p w:rsidR="003D16D9" w:rsidRPr="003D16D9" w:rsidRDefault="006D6B68" w:rsidP="003D16D9">
      <w:pPr>
        <w:widowControl w:val="0"/>
        <w:suppressAutoHyphens w:val="0"/>
        <w:autoSpaceDE w:val="0"/>
        <w:autoSpaceDN w:val="0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о</w:t>
      </w:r>
      <w:r w:rsidR="003D16D9"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круга</w:t>
      </w:r>
      <w:r w:rsid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="003D16D9"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Чувашской Республики</w:t>
      </w:r>
      <w:r w:rsid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                                                 </w:t>
      </w:r>
      <w:proofErr w:type="spellStart"/>
      <w:r w:rsid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Л.В.Левый</w:t>
      </w:r>
      <w:proofErr w:type="spellEnd"/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3D16D9" w:rsidRDefault="003D16D9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D1181F" w:rsidRPr="003D16D9" w:rsidRDefault="00D1181F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right"/>
        <w:outlineLvl w:val="0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Утверждено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решением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Собрания депутатов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Чувашской Республики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от </w:t>
      </w:r>
      <w:r w:rsidR="004067D5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29.12.2022 г. </w:t>
      </w: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N </w:t>
      </w:r>
      <w:r w:rsidR="00A5555F">
        <w:rPr>
          <w:rFonts w:ascii="Arial" w:eastAsia="Times New Roman" w:hAnsi="Arial" w:cs="Arial"/>
          <w:kern w:val="0"/>
          <w:lang w:eastAsia="zh-CN" w:bidi="ar-SA"/>
        </w:rPr>
        <w:t>8/3</w:t>
      </w:r>
      <w:bookmarkStart w:id="0" w:name="_GoBack"/>
      <w:bookmarkEnd w:id="0"/>
      <w:r w:rsidR="004067D5" w:rsidRPr="004067D5">
        <w:rPr>
          <w:rFonts w:ascii="Arial" w:eastAsia="Times New Roman" w:hAnsi="Arial" w:cs="Arial"/>
          <w:kern w:val="0"/>
          <w:lang w:eastAsia="zh-CN" w:bidi="ar-SA"/>
        </w:rPr>
        <w:t>-с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center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  <w:bookmarkStart w:id="1" w:name="P40"/>
      <w:bookmarkEnd w:id="1"/>
      <w:r w:rsidRPr="003D16D9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ПОЛОЖЕНИЕ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center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 xml:space="preserve">О КОМИССИИ ПО СОБЛЮДЕНИЮ ТРЕБОВАНИЙ </w:t>
      </w:r>
      <w:proofErr w:type="gramStart"/>
      <w:r w:rsidRPr="003D16D9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К</w:t>
      </w:r>
      <w:proofErr w:type="gramEnd"/>
      <w:r w:rsidRPr="003D16D9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 xml:space="preserve"> СЛУЖЕБНОМУ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center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ПОВЕДЕНИЮ ЛИЦ, ЗАМЕЩАЮЩИХ МУНИЦИПАЛЬНЫЕ ДОЛЖНОСТИ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center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В ЯЛЬЧИКСКОМ МУНИЦИПАЛЬНОМ ОКРУГЕ</w:t>
      </w:r>
      <w:r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 xml:space="preserve"> </w:t>
      </w:r>
      <w:r w:rsidRPr="003D16D9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ЧУВАШСКОЙ РЕСПУБЛИКИ, И УРЕГУЛИРОВАНИЮ КОНФЛИКТА ИНТЕРЕСОВ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лиц, замещающих муниципальные должности в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Яльчикском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муниципальном округе Чувашской Республики, и урегулированию конфликта интересов (далее - комиссия), образованной в соответствии с Федеральным </w:t>
      </w:r>
      <w:hyperlink r:id="rId14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законом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"О противодействии коррупции".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2. Комиссия в своей деятельности руководствуется </w:t>
      </w:r>
      <w:hyperlink r:id="rId15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Конституцией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6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Конституцией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Положением, а также муниципальными правовыми актами.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3. Основной задачей комиссии является содействие органам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Республики: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а) в обеспечении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законом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б) в осуществлении в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Яльчикском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муниципальном округе Чувашской Республики мер по предупреждению коррупции.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4. </w:t>
      </w: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 в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Яльчикском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муниципальном округе Чувашской Республики, к которым относятся глава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 и депутаты Собрания депутатов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 (далее - лица, замещающие муниципальные должности).</w:t>
      </w:r>
      <w:proofErr w:type="gramEnd"/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5. Комиссия образуется решением Собрания депутатов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lastRenderedPageBreak/>
        <w:t>муниципального округа Чувашской Республики. Указанным решением утверждается состав комиссии, определяются председатель комиссии, его заместитель, секретарь и члены комиссии.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6. В состав комиссии входят: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заместитель председателя Собрания депутатов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 (председатель комиссии), депутаты Собрания депутатов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Республики, должностное лицо администрации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Республики, ответственное за работу по профилактике коррупционных и иных правонарушений (секретарь комиссии), лица, замещающие иные должности муниципальной службы в органах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Республики;</w:t>
      </w:r>
      <w:proofErr w:type="gramEnd"/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2" w:name="P55"/>
      <w:bookmarkEnd w:id="2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представитель Управления Главы Чувашской Республики по вопросам противодействия коррупции, осуществляющего функции органа Чувашской Республики по профилактике коррупционных и иных правонарушений.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3" w:name="P56"/>
      <w:bookmarkEnd w:id="3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7. В состав комиссии могут быть включены: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а)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б) представитель (представители) общественной организации ветеранов, созданной в органе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в) представитель (представители) профсоюзной организации, действующей в установленном порядке в органе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8. </w:t>
      </w: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Лица, указанные в </w:t>
      </w:r>
      <w:hyperlink w:anchor="P55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абзаце третьем пункта 6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, </w:t>
      </w:r>
      <w:hyperlink w:anchor="P56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пункте 7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Положения, включаются в состав комиссии по согласованию с Управлением Главы Чувашской Республики по вопросам противодействия коррупции, администрацией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органа Чувашской Республики,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Республики, с профсоюзной организацией</w:t>
      </w:r>
      <w:proofErr w:type="gram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, действующей в установленном порядке в органе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Республики, на основании запроса председателя Собрания депутатов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10. Состав комиссии формируется таким образом, чтобы исключить </w:t>
      </w: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4" w:name="P63"/>
      <w:bookmarkEnd w:id="4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11. В заседаниях комиссии с правом совещательного голоса участвуют другие лица, замещающие муниципальные должности, муниципальные служащие, замещающие должности муниципальной службы в органе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Республики,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представитель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в отношении которого комиссией рассматривается этот вопрос, или любого члена комиссии.</w:t>
      </w:r>
      <w:proofErr w:type="gramEnd"/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Республики, недопустимо.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5" w:name="P66"/>
      <w:bookmarkEnd w:id="5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14. Основаниями для проведения заседания комиссии являются: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6" w:name="P67"/>
      <w:bookmarkEnd w:id="6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а) представление руководителю органа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 материалов проверки, свидетельствующих: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7" w:name="P68"/>
      <w:bookmarkEnd w:id="7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о представлении лицом, замещающим муниципальную должность, недостоверных или неполных сведений при представлении сведений о доходах, об имуществе и обязательствах имущественного характера;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8" w:name="P69"/>
      <w:bookmarkEnd w:id="8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о несоблюдении лицом, замещающим муниципальную должность, требований к служебному поведению и (или) требований об урегулировании конфликта интересов;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9" w:name="P70"/>
      <w:bookmarkEnd w:id="9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б) </w:t>
      </w: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поступившее</w:t>
      </w:r>
      <w:proofErr w:type="gram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в орган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Республики: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0" w:name="P71"/>
      <w:bookmarkEnd w:id="10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1" w:name="P72"/>
      <w:bookmarkEnd w:id="11"/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заявление лица, замещающего муниципальную должность, о невозможности </w:t>
      </w: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lastRenderedPageBreak/>
        <w:t xml:space="preserve">выполнить требования Федерального </w:t>
      </w:r>
      <w:hyperlink r:id="rId18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закона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2" w:name="P73"/>
      <w:bookmarkEnd w:id="12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3" w:name="P74"/>
      <w:bookmarkEnd w:id="13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в) представление руководителя органа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 или любого члена комиссии, касающееся обеспечения соблюдения лицом, замещающим муниципальную должность,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 мер по предупреждению коррупции;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4" w:name="P75"/>
      <w:bookmarkEnd w:id="14"/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г) представление руководителем органа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</w:t>
      </w:r>
      <w:hyperlink r:id="rId19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частью 1 статьи 3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</w:t>
      </w:r>
      <w:proofErr w:type="gramEnd"/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5" w:name="P77"/>
      <w:bookmarkEnd w:id="15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16. </w:t>
      </w: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Уведомление, указанное в </w:t>
      </w:r>
      <w:hyperlink w:anchor="P73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абзаце четвертом подпункта "б" пункта 14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Положения, рассматривается лицом, ответственным за работу по профилактике коррупционных и иных правонарушений в органе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 (далее - должностное лицо, ответственное за работу по профилактике коррупционных и иных правонарушений в органе местного самоуправления), которое осуществляет подготовку мотивированного заключения по результатам рассмотрения уведомления.</w:t>
      </w:r>
      <w:proofErr w:type="gramEnd"/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17. При подготовке мотивированного заключения по результатам </w:t>
      </w: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lastRenderedPageBreak/>
        <w:t xml:space="preserve">рассмотрения уведомления, указанного в </w:t>
      </w:r>
      <w:hyperlink w:anchor="P73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абзаце четвертом подпункта "б"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Положения: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должностное лицо, ответственное за работу по профилактике коррупционных и иных правонарушений в органе местного самоуправления, имеет право проводить собеседование с лицом, замещающим муниципальную должность, представившим уведомление, получать от него письменные пояснения;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6" w:name="P80"/>
      <w:bookmarkEnd w:id="16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руководитель органа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18. 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В случае направления в соответствии с </w:t>
      </w:r>
      <w:hyperlink w:anchor="P80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абзацем третьим пункта 17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 запросов в государственные органы, органы местного самоуправления и заинтересованные организации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19. Мотивированное заключение, предусмотренное </w:t>
      </w:r>
      <w:hyperlink w:anchor="P77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пунктом 16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Положения, должно содержать: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а) информацию, изложенную в уведомлении, указанном в </w:t>
      </w:r>
      <w:hyperlink w:anchor="P73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абзаце четвертом подпункта "б" пункта 14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73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абзаце четвертом подпункта "б" пункта 14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Положения, а также рекомендации для принятия одного из решений в соответствии с </w:t>
      </w:r>
      <w:hyperlink w:anchor="P112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пунктом 30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 или иного решения.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1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пунктом 21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орган местного самоуправления </w:t>
      </w: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lastRenderedPageBreak/>
        <w:t>информацией и с результатами ее проверки;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в) рассматривает ходатайства о приглашении на заседание комиссии лиц, указанных в </w:t>
      </w:r>
      <w:hyperlink w:anchor="P63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пункте 11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7" w:name="P91"/>
      <w:bookmarkEnd w:id="17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21. Заседание комиссии по рассмотрению заявлений, указанных в </w:t>
      </w:r>
      <w:hyperlink w:anchor="P71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абзацах втором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и </w:t>
      </w:r>
      <w:hyperlink w:anchor="P72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третьем подпункта "б" пункта 14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22.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О намерении лично присутствовать на заседании комиссии лицо, замещающее муниципальную должность, указывает в заявлении или уведомлении, представляемых в соответствии с </w:t>
      </w:r>
      <w:hyperlink w:anchor="P70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подпунктом "б" пункта 14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23. Заседания комиссии могут проводиться в отсутствие лица, замещающего муниципальную должность, в случае: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а) если в заявлении или уведомлении, предусмотренных </w:t>
      </w:r>
      <w:hyperlink w:anchor="P70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подпунктом "б" пункта 14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24. 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8" w:name="P99"/>
      <w:bookmarkEnd w:id="18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26. По итогам рассмотрения вопроса, указанного в </w:t>
      </w:r>
      <w:hyperlink w:anchor="P68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абзаце втором подпункта "а" пункта 14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Положения, комиссия принимает одно из следующих решений: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а) установить, что сведения, представленные лицом, замещающим муниципальную должность, являются достоверными и полными;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б) установить, что сведения, представленные лицом, замещающим муниципальную должность, являются недостоверными и (или) неполными. В этом случае комиссия рекомендует руководителю представительного органа местного </w:t>
      </w: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lastRenderedPageBreak/>
        <w:t>самоуправления применить конкретную меру ответственности и (или) направить материалы в органы прокуратуры и (или) иные государственные органы в соответствии с их компетенцией.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27. По итогам рассмотрения вопроса, указанного в </w:t>
      </w:r>
      <w:hyperlink w:anchor="P69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абзаце третьем подпункта "а" пункта 14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Положения, комиссия принимает одно из следующих решений: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а) установить, что лицо, замещающее муниципальную должность, соблюдало требования к служебному поведению и (или) требования об урегулировании конфликта интересов;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б) установить, что лицо, замещающее муниципальную должность, не соблюдало требования к служебному поведению и (или) требования об урегулировании конфликта интересов. В этом случае комиссия рекомендует руководителю представительного органа местного самоуправления указать на недопустимость нарушения требований к служебному поведению и (или) требований об урегулировании конфликта интересов либо применить конкретную меру ответственности.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28. По итогам рассмотрения вопроса, указанного в </w:t>
      </w:r>
      <w:hyperlink w:anchor="P71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абзаце втором подпункта "б" пункта 14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Положения, комиссия принимает одно из следующих решений: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представительного органа местного самоуправления применить конкретную меру ответственности.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29. По итогам рассмотрения вопроса, указанного в </w:t>
      </w:r>
      <w:hyperlink w:anchor="P72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абзаце третьем подпункта "б" пункта 14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Положения, комиссия принимает одно из следующих решений: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а) признать, что обстоятельства, препятствующие выполнению требований Федерального </w:t>
      </w:r>
      <w:hyperlink r:id="rId20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закона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б) признать, что обстоятельства, препятствующие выполнению требований Федерального </w:t>
      </w:r>
      <w:hyperlink r:id="rId21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закона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В этом случае комиссия рекомендует руководителю представительного органа местного самоуправления применить конкретную меру ответственности.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9" w:name="P112"/>
      <w:bookmarkEnd w:id="19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30. По итогам рассмотрения вопроса, указанного в </w:t>
      </w:r>
      <w:hyperlink w:anchor="P73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абзаце четвертом подпункта "б" пункта 14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Положения, комиссия принимает одно из следующих решений: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б) признать, что при исполнении лицом, замещающим муниципальную должность, муниципальным служащим,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руководителю представительного органа местного самоуправления принять меры по урегулированию конфликта интересов или по недопущению его возникновения;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в) признать,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руководителю представительного органа местного самоуправления применить конкретную меру ответственности.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20" w:name="P116"/>
      <w:bookmarkEnd w:id="20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31. По итогам рассмотрения вопроса, указанного в </w:t>
      </w:r>
      <w:hyperlink w:anchor="P75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подпункте "г" пункта 14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Положения, комиссия принимает одно из следующих решений: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а) признать, что сведения, представленные лицом, замещающим муниципальную должность, в соответствии с </w:t>
      </w:r>
      <w:hyperlink r:id="rId22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частью 1 статьи 3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Федерального закона от 3 декабря 2012 года N 230-ФЗ "О </w:t>
      </w: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контроле за</w:t>
      </w:r>
      <w:proofErr w:type="gram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б) признать, что сведения, представленные лицом, замещающим муниципальную должность, в соответствии с </w:t>
      </w:r>
      <w:hyperlink r:id="rId23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частью 1 статьи 3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Федерального закона от 3 декабря 2012 года N 230-ФЗ "О </w:t>
      </w: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контроле за</w:t>
      </w:r>
      <w:proofErr w:type="gram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представительного органа местного самоуправления применить </w:t>
      </w: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к</w:t>
      </w:r>
      <w:proofErr w:type="gram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конкретную</w:t>
      </w:r>
      <w:proofErr w:type="gram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lastRenderedPageBreak/>
        <w:t xml:space="preserve">32. По итогам рассмотрения вопроса, предусмотренного </w:t>
      </w:r>
      <w:hyperlink w:anchor="P74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подпунктом "в" пункта 14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Положения, комиссия принимает соответствующее решение.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33. По итогам рассмотрения вопросов, указанных в </w:t>
      </w:r>
      <w:hyperlink w:anchor="P67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подпунктах "а"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, </w:t>
      </w:r>
      <w:hyperlink w:anchor="P70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"б"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, </w:t>
      </w:r>
      <w:hyperlink w:anchor="P75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"г" пункта 14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99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пунктами 26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- </w:t>
      </w:r>
      <w:hyperlink w:anchor="P116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31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34. Для исполнения решения комиссии могут быть подготовлены проекты нормативных правовых актов органа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Республики, решений или поручений руководителя органа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35. Решения комиссии по вопросам, указанным в </w:t>
      </w:r>
      <w:hyperlink w:anchor="P66">
        <w:r w:rsidRPr="003D16D9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пункте 14</w:t>
        </w:r>
      </w:hyperlink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 для руководителя органа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 носят рекомендательный характер.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37. В протоколе заседания комиссии указываются: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а) дата заседания комиссии, фамилии, имена и (при наличии) отчества членов комиссии и других лиц, присутствующих на заседании;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д) фамилии, имена и (при наличии) отчества выступивших на заседании лиц и краткое изложение их выступлений;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ж) другие сведения;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з) результаты голосования;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и) решение и обоснование его принятия.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lastRenderedPageBreak/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39. Копии протокола заседания комиссии в 7-дневный срок со дня заседания направляются руководителю представительного органа местного самоуправления 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40. Руководитель представительного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компетенции</w:t>
      </w:r>
      <w:proofErr w:type="gram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содержащиеся в нем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представительного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представительного органа местного самоуправления оглашается на ближайшем заседании комиссии и принимается к сведению без обсуждения.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41. В случае установления комиссией признаков дисциплинарного проступка в действиях (бездействии) лица, замещающего муниципальную должность, информация об этом представляется руководителю представительного органа местного самоуправления для решения вопроса о применении мер ответственности, предусмотренных нормативными правовыми актами Российской Федерации.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42. </w:t>
      </w: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43. 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44. </w:t>
      </w:r>
      <w:proofErr w:type="gram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должностными лицами органа местного самоуправления </w:t>
      </w:r>
      <w:proofErr w:type="spellStart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3D16D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Республики, ответственными за работу по профилактике коррупционных и иных правонарушений.</w:t>
      </w:r>
      <w:proofErr w:type="gramEnd"/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3D16D9" w:rsidRPr="003D16D9" w:rsidRDefault="003D16D9" w:rsidP="003D16D9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3D16D9" w:rsidRPr="003D16D9" w:rsidRDefault="003D16D9" w:rsidP="003D16D9">
      <w:pPr>
        <w:widowControl w:val="0"/>
        <w:pBdr>
          <w:bottom w:val="single" w:sz="6" w:space="0" w:color="auto"/>
        </w:pBdr>
        <w:suppressAutoHyphens w:val="0"/>
        <w:autoSpaceDE w:val="0"/>
        <w:autoSpaceDN w:val="0"/>
        <w:spacing w:before="100" w:after="10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3D16D9" w:rsidRPr="003D16D9" w:rsidRDefault="003D16D9" w:rsidP="003D16D9">
      <w:pPr>
        <w:suppressAutoHyphens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D26A87" w:rsidRPr="003D16D9" w:rsidRDefault="00D26A87">
      <w:pPr>
        <w:rPr>
          <w:rFonts w:cs="Times New Roman"/>
          <w:sz w:val="26"/>
          <w:szCs w:val="26"/>
        </w:rPr>
      </w:pPr>
    </w:p>
    <w:sectPr w:rsidR="00D26A87" w:rsidRPr="003D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87"/>
    <w:rsid w:val="00154621"/>
    <w:rsid w:val="003D16D9"/>
    <w:rsid w:val="004067D5"/>
    <w:rsid w:val="006D6B68"/>
    <w:rsid w:val="009A37AD"/>
    <w:rsid w:val="00A5555F"/>
    <w:rsid w:val="00C06E33"/>
    <w:rsid w:val="00D1181F"/>
    <w:rsid w:val="00D2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87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D26A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26A87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87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D26A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26A87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969F30F39E0AEB4D5BBD9E31F4C9E8759BC3C92BEBF4391AA03AF58DCBAAB08D8F370C10A0FFBD7CB5D63811BW2I" TargetMode="External"/><Relationship Id="rId13" Type="http://schemas.openxmlformats.org/officeDocument/2006/relationships/hyperlink" Target="consultantplus://offline/ref=719969F30F39E0AEB4D5A5D4F573129A8B50EA329BB2BC14CFF805F8078CBCFE5A98AD29914944F7D4D2416281AE8E47551FW7I" TargetMode="External"/><Relationship Id="rId18" Type="http://schemas.openxmlformats.org/officeDocument/2006/relationships/hyperlink" Target="consultantplus://offline/ref=719969F30F39E0AEB4D5BBD9E31F4C9E8053B13F99B4BF4391AA03AF58DCBAAB08D8F370C10A0FFBD7CB5D63811BW2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19969F30F39E0AEB4D5BBD9E31F4C9E8053B13F99B4BF4391AA03AF58DCBAAB08D8F370C10A0FFBD7CB5D63811BW2I" TargetMode="External"/><Relationship Id="rId7" Type="http://schemas.openxmlformats.org/officeDocument/2006/relationships/hyperlink" Target="consultantplus://offline/ref=719969F30F39E0AEB4D5BBD9E31F4C9E8759B63E92B1BF4391AA03AF58DCBAAB08D8F370C10A0FFBD7CB5D63811BW2I" TargetMode="External"/><Relationship Id="rId12" Type="http://schemas.openxmlformats.org/officeDocument/2006/relationships/hyperlink" Target="consultantplus://offline/ref=719969F30F39E0AEB4D5A5D4F573129A8B50EA329BB2B11CCFF605F8078CBCFE5A98AD29914944F7D4D2416281AE8E47551FW7I" TargetMode="External"/><Relationship Id="rId17" Type="http://schemas.openxmlformats.org/officeDocument/2006/relationships/hyperlink" Target="consultantplus://offline/ref=719969F30F39E0AEB4D5BBD9E31F4C9E8759BC3C92BEBF4391AA03AF58DCBAAB08D8F370C10A0FFBD7CB5D63811BW2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9969F30F39E0AEB4D5A5D4F573129A8B50EA329BB5BD12CAF605F8078CBCFE5A98AD29914944F7D4D2416281AE8E47551FW7I" TargetMode="External"/><Relationship Id="rId20" Type="http://schemas.openxmlformats.org/officeDocument/2006/relationships/hyperlink" Target="consultantplus://offline/ref=719969F30F39E0AEB4D5BBD9E31F4C9E8053B13F99B4BF4391AA03AF58DCBAAB08D8F370C10A0FFBD7CB5D63811BW2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19969F30F39E0AEB4D5A5D4F573129A8B50EA329BB2BD1CC9FA05F8078CBCFE5A98AD29914944F7D4D2416281AE8E47551FW7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9969F30F39E0AEB4D5BBD9E31F4C9E8153B33A91E0E841C0FF0DAA508CE0BB0C91A77ADE0C13E4D7D55D16W1I" TargetMode="External"/><Relationship Id="rId23" Type="http://schemas.openxmlformats.org/officeDocument/2006/relationships/hyperlink" Target="consultantplus://offline/ref=719969F30F39E0AEB4D5BBD9E31F4C9E875AB73A98BEBF4391AA03AF58DCBAAB1AD8AB7BC00645AB9180526284AE8D4549F7176518W8I" TargetMode="External"/><Relationship Id="rId10" Type="http://schemas.openxmlformats.org/officeDocument/2006/relationships/hyperlink" Target="consultantplus://offline/ref=719969F30F39E0AEB4D5BBD9E31F4C9E8759BC3E92B6BF4391AA03AF58DCBAAB08D8F370C10A0FFBD7CB5D63811BW2I" TargetMode="External"/><Relationship Id="rId19" Type="http://schemas.openxmlformats.org/officeDocument/2006/relationships/hyperlink" Target="consultantplus://offline/ref=719969F30F39E0AEB4D5BBD9E31F4C9E875AB73A98BEBF4391AA03AF58DCBAAB1AD8AB7BC00645AB9180526284AE8D4549F7176518W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9969F30F39E0AEB4D5BBD9E31F4C9E875AB1389DB7BF4391AA03AF58DCBAAB08D8F370C10A0FFBD7CB5D63811BW2I" TargetMode="External"/><Relationship Id="rId14" Type="http://schemas.openxmlformats.org/officeDocument/2006/relationships/hyperlink" Target="consultantplus://offline/ref=719969F30F39E0AEB4D5BBD9E31F4C9E8759BC3C92BEBF4391AA03AF58DCBAAB08D8F370C10A0FFBD7CB5D63811BW2I" TargetMode="External"/><Relationship Id="rId22" Type="http://schemas.openxmlformats.org/officeDocument/2006/relationships/hyperlink" Target="consultantplus://offline/ref=719969F30F39E0AEB4D5BBD9E31F4C9E875AB73A98BEBF4391AA03AF58DCBAAB1AD8AB7BC00645AB9180526284AE8D4549F7176518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4829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6</cp:revision>
  <cp:lastPrinted>2023-01-10T09:08:00Z</cp:lastPrinted>
  <dcterms:created xsi:type="dcterms:W3CDTF">2022-12-24T07:03:00Z</dcterms:created>
  <dcterms:modified xsi:type="dcterms:W3CDTF">2023-01-10T09:09:00Z</dcterms:modified>
</cp:coreProperties>
</file>